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B4A" w:rsidRPr="009C16FF" w:rsidRDefault="007C5B4A" w:rsidP="007C5B4A">
      <w:pPr>
        <w:rPr>
          <w:rFonts w:cs="Calibri"/>
          <w:b/>
        </w:rPr>
      </w:pPr>
    </w:p>
    <w:p w:rsidR="00704BAA" w:rsidRPr="009C16FF" w:rsidRDefault="00704BAA" w:rsidP="00704BAA">
      <w:pPr>
        <w:rPr>
          <w:rFonts w:cs="Calibri"/>
          <w:b/>
        </w:rPr>
      </w:pPr>
    </w:p>
    <w:p w:rsidR="00704BAA" w:rsidRPr="009C16FF" w:rsidRDefault="00704BAA" w:rsidP="00704BAA">
      <w:pPr>
        <w:rPr>
          <w:rFonts w:cs="Calibri"/>
          <w:b/>
        </w:rPr>
      </w:pPr>
    </w:p>
    <w:p w:rsidR="00704BAA" w:rsidRPr="009C16FF" w:rsidRDefault="00704BAA" w:rsidP="00704BAA">
      <w:pPr>
        <w:rPr>
          <w:rFonts w:cs="Calibri"/>
          <w:b/>
        </w:rPr>
      </w:pPr>
    </w:p>
    <w:p w:rsidR="00704BAA" w:rsidRPr="009C16FF" w:rsidRDefault="00704BAA" w:rsidP="00704BAA">
      <w:pPr>
        <w:rPr>
          <w:rFonts w:cs="Calibri"/>
          <w:b/>
        </w:rPr>
      </w:pPr>
    </w:p>
    <w:p w:rsidR="00704BAA" w:rsidRPr="002E5DFD" w:rsidRDefault="00704BAA" w:rsidP="00704BAA">
      <w:pPr>
        <w:pStyle w:val="Title"/>
        <w:jc w:val="center"/>
        <w:rPr>
          <w:rFonts w:ascii="Calibri" w:hAnsi="Calibri" w:cs="Calibri"/>
          <w:b/>
          <w:sz w:val="28"/>
          <w:szCs w:val="28"/>
        </w:rPr>
      </w:pPr>
      <w:r w:rsidRPr="002E5DFD">
        <w:rPr>
          <w:rFonts w:ascii="Calibri" w:hAnsi="Calibri" w:cs="Calibri"/>
          <w:b/>
          <w:sz w:val="28"/>
          <w:szCs w:val="28"/>
        </w:rPr>
        <w:t>New Hampshire Energy Efficiency</w:t>
      </w:r>
    </w:p>
    <w:p w:rsidR="00704BAA" w:rsidRPr="002E5DFD" w:rsidRDefault="00704BAA" w:rsidP="00704BAA">
      <w:pPr>
        <w:pStyle w:val="Title"/>
        <w:jc w:val="center"/>
        <w:rPr>
          <w:rFonts w:ascii="Calibri" w:hAnsi="Calibri" w:cs="Calibri"/>
          <w:b/>
          <w:sz w:val="28"/>
          <w:szCs w:val="28"/>
        </w:rPr>
      </w:pPr>
      <w:r w:rsidRPr="002E5DFD">
        <w:rPr>
          <w:rFonts w:ascii="Calibri" w:hAnsi="Calibri" w:cs="Calibri"/>
          <w:b/>
          <w:sz w:val="28"/>
          <w:szCs w:val="28"/>
        </w:rPr>
        <w:t>Calculation of Lost Base Revenue</w:t>
      </w:r>
    </w:p>
    <w:p w:rsidR="00704BAA" w:rsidRPr="002E5DFD" w:rsidRDefault="00704BAA" w:rsidP="00704BAA">
      <w:pPr>
        <w:pStyle w:val="Title"/>
        <w:jc w:val="center"/>
        <w:rPr>
          <w:rFonts w:ascii="Calibri" w:hAnsi="Calibri" w:cs="Calibri"/>
          <w:b/>
          <w:sz w:val="28"/>
          <w:szCs w:val="28"/>
        </w:rPr>
      </w:pPr>
      <w:r w:rsidRPr="002E5DFD">
        <w:rPr>
          <w:rFonts w:ascii="Calibri" w:hAnsi="Calibri" w:cs="Calibri"/>
          <w:b/>
          <w:sz w:val="28"/>
          <w:szCs w:val="28"/>
        </w:rPr>
        <w:t>For Measures installed beginning in 2019</w:t>
      </w:r>
    </w:p>
    <w:p w:rsidR="00704BAA" w:rsidRPr="002E5DFD" w:rsidRDefault="00704BAA" w:rsidP="00704BAA">
      <w:pPr>
        <w:spacing w:after="0"/>
        <w:rPr>
          <w:rFonts w:cs="Calibri"/>
          <w:b/>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r w:rsidRPr="002E5DFD">
        <w:rPr>
          <w:rFonts w:cs="Calibri"/>
          <w:b/>
          <w:sz w:val="28"/>
          <w:szCs w:val="28"/>
        </w:rPr>
        <w:t>Report Issued by the NH Lost Base Revenue (LBR) Working Group</w:t>
      </w: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p>
    <w:p w:rsidR="00704BAA" w:rsidRPr="002E5DFD" w:rsidRDefault="00704BAA" w:rsidP="00704BAA">
      <w:pPr>
        <w:spacing w:after="0"/>
        <w:jc w:val="center"/>
        <w:rPr>
          <w:rFonts w:cs="Calibri"/>
          <w:b/>
          <w:sz w:val="28"/>
          <w:szCs w:val="28"/>
        </w:rPr>
      </w:pPr>
      <w:r w:rsidRPr="002E5DFD">
        <w:rPr>
          <w:rFonts w:cs="Calibri"/>
          <w:b/>
          <w:sz w:val="28"/>
          <w:szCs w:val="28"/>
        </w:rPr>
        <w:t xml:space="preserve">Docket No. </w:t>
      </w:r>
      <w:r w:rsidR="00E66EC4">
        <w:rPr>
          <w:rFonts w:cs="Calibri"/>
          <w:b/>
          <w:sz w:val="28"/>
          <w:szCs w:val="28"/>
        </w:rPr>
        <w:t xml:space="preserve">DE </w:t>
      </w:r>
      <w:r w:rsidRPr="002E5DFD">
        <w:rPr>
          <w:rFonts w:cs="Calibri"/>
          <w:b/>
          <w:sz w:val="28"/>
          <w:szCs w:val="28"/>
        </w:rPr>
        <w:t>17-136</w:t>
      </w:r>
    </w:p>
    <w:p w:rsidR="00704BAA" w:rsidRDefault="00704BAA" w:rsidP="00704BAA">
      <w:pPr>
        <w:jc w:val="center"/>
        <w:rPr>
          <w:rFonts w:cs="Calibri"/>
          <w:b/>
          <w:sz w:val="28"/>
          <w:szCs w:val="28"/>
        </w:rPr>
      </w:pPr>
    </w:p>
    <w:p w:rsidR="007E310E" w:rsidRPr="002E5DFD" w:rsidRDefault="007E310E" w:rsidP="00704BAA">
      <w:pPr>
        <w:jc w:val="center"/>
        <w:rPr>
          <w:rFonts w:cs="Calibri"/>
          <w:b/>
          <w:sz w:val="28"/>
          <w:szCs w:val="28"/>
        </w:rPr>
      </w:pPr>
      <w:r>
        <w:rPr>
          <w:rFonts w:cs="Calibri"/>
          <w:b/>
          <w:sz w:val="28"/>
          <w:szCs w:val="28"/>
        </w:rPr>
        <w:t>August 2</w:t>
      </w:r>
      <w:r w:rsidR="007F7B9F">
        <w:rPr>
          <w:rFonts w:cs="Calibri"/>
          <w:b/>
          <w:sz w:val="28"/>
          <w:szCs w:val="28"/>
        </w:rPr>
        <w:t>9</w:t>
      </w:r>
      <w:r>
        <w:rPr>
          <w:rFonts w:cs="Calibri"/>
          <w:b/>
          <w:sz w:val="28"/>
          <w:szCs w:val="28"/>
        </w:rPr>
        <w:t>, 2018</w:t>
      </w:r>
    </w:p>
    <w:p w:rsidR="00704BAA" w:rsidRPr="002E5DFD" w:rsidRDefault="00704BAA" w:rsidP="00704BAA">
      <w:pPr>
        <w:rPr>
          <w:rFonts w:cs="Calibri"/>
          <w:b/>
        </w:rPr>
      </w:pPr>
    </w:p>
    <w:p w:rsidR="00704BAA" w:rsidRPr="002E5DFD" w:rsidRDefault="00704BAA" w:rsidP="00704BAA">
      <w:pPr>
        <w:rPr>
          <w:rFonts w:cs="Calibri"/>
        </w:rPr>
      </w:pPr>
    </w:p>
    <w:p w:rsidR="00704BAA" w:rsidRPr="002E5DFD" w:rsidRDefault="00704BAA" w:rsidP="00704BAA">
      <w:pPr>
        <w:rPr>
          <w:rFonts w:cs="Calibri"/>
        </w:rPr>
      </w:pPr>
    </w:p>
    <w:p w:rsidR="00704BAA" w:rsidRPr="002E5DFD" w:rsidRDefault="00704BAA" w:rsidP="00704BAA">
      <w:pPr>
        <w:spacing w:after="0"/>
        <w:rPr>
          <w:rFonts w:cs="Calibri"/>
        </w:rPr>
        <w:sectPr w:rsidR="00704BAA" w:rsidRPr="002E5DFD">
          <w:pgSz w:w="12240" w:h="15840"/>
          <w:pgMar w:top="1440" w:right="1440" w:bottom="1440" w:left="1440" w:header="720" w:footer="720" w:gutter="0"/>
          <w:pgNumType w:start="1"/>
          <w:cols w:space="720"/>
        </w:sectPr>
      </w:pPr>
    </w:p>
    <w:p w:rsidR="00704BAA" w:rsidRPr="002E5DFD" w:rsidRDefault="00704BAA" w:rsidP="00704BAA">
      <w:pPr>
        <w:spacing w:after="0" w:line="240" w:lineRule="auto"/>
        <w:jc w:val="center"/>
        <w:rPr>
          <w:rFonts w:cs="Calibri"/>
          <w:b/>
          <w:sz w:val="32"/>
          <w:szCs w:val="32"/>
        </w:rPr>
      </w:pPr>
      <w:r w:rsidRPr="002E5DFD">
        <w:rPr>
          <w:rFonts w:cs="Calibri"/>
          <w:b/>
          <w:sz w:val="32"/>
          <w:szCs w:val="32"/>
        </w:rPr>
        <w:lastRenderedPageBreak/>
        <w:t>Table of Contents</w:t>
      </w:r>
    </w:p>
    <w:p w:rsidR="00704BAA" w:rsidRPr="002E5DFD" w:rsidRDefault="00704BAA" w:rsidP="00704BAA">
      <w:pPr>
        <w:spacing w:after="0" w:line="240" w:lineRule="auto"/>
        <w:rPr>
          <w:rFonts w:cs="Calibri"/>
        </w:rPr>
      </w:pPr>
    </w:p>
    <w:p w:rsidR="00704BAA" w:rsidRPr="002E5DFD" w:rsidRDefault="00704BAA" w:rsidP="002E5DFD">
      <w:pPr>
        <w:pStyle w:val="ListParagraph"/>
        <w:numPr>
          <w:ilvl w:val="0"/>
          <w:numId w:val="3"/>
        </w:numPr>
        <w:spacing w:after="0" w:line="240" w:lineRule="auto"/>
        <w:rPr>
          <w:rFonts w:cs="Calibri"/>
        </w:rPr>
      </w:pPr>
      <w:r w:rsidRPr="002E5DFD">
        <w:rPr>
          <w:rFonts w:cs="Calibri"/>
        </w:rPr>
        <w:t>Introduction</w:t>
      </w:r>
    </w:p>
    <w:p w:rsidR="00F57DDC" w:rsidRDefault="006C4C59" w:rsidP="00F57DDC">
      <w:pPr>
        <w:pStyle w:val="ListParagraph"/>
        <w:numPr>
          <w:ilvl w:val="0"/>
          <w:numId w:val="16"/>
        </w:numPr>
        <w:spacing w:after="0" w:line="240" w:lineRule="auto"/>
        <w:rPr>
          <w:rFonts w:cs="Calibri"/>
        </w:rPr>
      </w:pPr>
      <w:r>
        <w:rPr>
          <w:rFonts w:cs="Calibri"/>
        </w:rPr>
        <w:t xml:space="preserve">      </w:t>
      </w:r>
      <w:r w:rsidR="00704BAA" w:rsidRPr="002E5DFD">
        <w:rPr>
          <w:rFonts w:cs="Calibri"/>
        </w:rPr>
        <w:t>Scope and Members of the LBR Working Group</w:t>
      </w:r>
      <w:r w:rsidR="00F57DDC">
        <w:rPr>
          <w:rFonts w:cs="Calibri"/>
        </w:rPr>
        <w:tab/>
      </w:r>
      <w:r w:rsidR="00F57DDC">
        <w:rPr>
          <w:rFonts w:cs="Calibri"/>
        </w:rPr>
        <w:tab/>
      </w:r>
      <w:r w:rsidR="00F57DDC">
        <w:rPr>
          <w:rFonts w:cs="Calibri"/>
        </w:rPr>
        <w:tab/>
      </w:r>
      <w:r w:rsidR="00F57DDC">
        <w:rPr>
          <w:rFonts w:cs="Calibri"/>
        </w:rPr>
        <w:tab/>
      </w:r>
      <w:r w:rsidR="00D5376E">
        <w:rPr>
          <w:rFonts w:cs="Calibri"/>
        </w:rPr>
        <w:t>2</w:t>
      </w:r>
    </w:p>
    <w:p w:rsidR="00F57DDC" w:rsidRDefault="006C4C59" w:rsidP="00F57DDC">
      <w:pPr>
        <w:pStyle w:val="ListParagraph"/>
        <w:numPr>
          <w:ilvl w:val="0"/>
          <w:numId w:val="16"/>
        </w:numPr>
        <w:spacing w:after="0" w:line="240" w:lineRule="auto"/>
        <w:rPr>
          <w:rFonts w:cs="Calibri"/>
        </w:rPr>
      </w:pPr>
      <w:r>
        <w:rPr>
          <w:rFonts w:cs="Calibri"/>
        </w:rPr>
        <w:t xml:space="preserve">      </w:t>
      </w:r>
      <w:r w:rsidR="00F57DDC" w:rsidRPr="00F57DDC">
        <w:rPr>
          <w:rFonts w:cs="Calibri"/>
        </w:rPr>
        <w:t>Executive Summary</w:t>
      </w:r>
      <w:r w:rsidR="00F57DDC">
        <w:rPr>
          <w:rFonts w:cs="Calibri"/>
        </w:rPr>
        <w:tab/>
      </w:r>
      <w:r w:rsidR="00F57DDC">
        <w:rPr>
          <w:rFonts w:cs="Calibri"/>
        </w:rPr>
        <w:tab/>
      </w:r>
      <w:r w:rsidR="00F57DDC">
        <w:rPr>
          <w:rFonts w:cs="Calibri"/>
        </w:rPr>
        <w:tab/>
      </w:r>
      <w:r w:rsidR="00F57DDC">
        <w:rPr>
          <w:rFonts w:cs="Calibri"/>
        </w:rPr>
        <w:tab/>
      </w:r>
      <w:r w:rsidR="00F57DDC">
        <w:rPr>
          <w:rFonts w:cs="Calibri"/>
        </w:rPr>
        <w:tab/>
      </w:r>
      <w:r w:rsidR="00F57DDC">
        <w:rPr>
          <w:rFonts w:cs="Calibri"/>
        </w:rPr>
        <w:tab/>
      </w:r>
      <w:r w:rsidR="00F57DDC">
        <w:rPr>
          <w:rFonts w:cs="Calibri"/>
        </w:rPr>
        <w:tab/>
      </w:r>
      <w:r w:rsidR="00D5376E">
        <w:rPr>
          <w:rFonts w:cs="Calibri"/>
        </w:rPr>
        <w:t>3</w:t>
      </w:r>
    </w:p>
    <w:p w:rsidR="009C16FF" w:rsidRPr="00F57DDC" w:rsidRDefault="002E5DFD" w:rsidP="00F57DDC">
      <w:pPr>
        <w:pStyle w:val="ListParagraph"/>
        <w:spacing w:after="0" w:line="240" w:lineRule="auto"/>
        <w:ind w:left="1080" w:firstLine="360"/>
        <w:rPr>
          <w:rFonts w:cs="Calibri"/>
        </w:rPr>
      </w:pPr>
      <w:r w:rsidRPr="00F57DDC">
        <w:rPr>
          <w:rFonts w:cs="Calibri"/>
        </w:rPr>
        <w:t xml:space="preserve">C.   </w:t>
      </w:r>
      <w:r w:rsidR="006C4C59">
        <w:rPr>
          <w:rFonts w:cs="Calibri"/>
        </w:rPr>
        <w:t xml:space="preserve">       </w:t>
      </w:r>
      <w:r w:rsidR="009C16FF" w:rsidRPr="00F57DDC">
        <w:rPr>
          <w:rFonts w:cs="Calibri"/>
        </w:rPr>
        <w:t>Summary of LBR Calculations</w:t>
      </w:r>
      <w:r w:rsidR="009C16FF" w:rsidRPr="00F57DDC">
        <w:rPr>
          <w:rFonts w:cs="Calibri"/>
        </w:rPr>
        <w:tab/>
      </w:r>
      <w:r w:rsidR="009C16FF" w:rsidRPr="00F57DDC">
        <w:rPr>
          <w:rFonts w:cs="Calibri"/>
        </w:rPr>
        <w:tab/>
      </w:r>
      <w:r w:rsidR="009C16FF" w:rsidRPr="00F57DDC">
        <w:rPr>
          <w:rFonts w:cs="Calibri"/>
        </w:rPr>
        <w:tab/>
      </w:r>
      <w:r w:rsidR="009C16FF" w:rsidRPr="00F57DDC">
        <w:rPr>
          <w:rFonts w:cs="Calibri"/>
        </w:rPr>
        <w:tab/>
      </w:r>
      <w:r w:rsidR="009C16FF" w:rsidRPr="00F57DDC">
        <w:rPr>
          <w:rFonts w:cs="Calibri"/>
        </w:rPr>
        <w:tab/>
      </w:r>
      <w:r w:rsidR="00F57DDC">
        <w:rPr>
          <w:rFonts w:cs="Calibri"/>
        </w:rPr>
        <w:tab/>
        <w:t>3</w:t>
      </w:r>
    </w:p>
    <w:p w:rsidR="00704BAA" w:rsidRPr="002E5DFD" w:rsidRDefault="009C16FF" w:rsidP="009C16FF">
      <w:pPr>
        <w:pStyle w:val="ListParagraph"/>
        <w:spacing w:after="0" w:line="240" w:lineRule="auto"/>
        <w:ind w:left="1800"/>
        <w:rPr>
          <w:rFonts w:cs="Calibri"/>
        </w:rPr>
      </w:pP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p>
    <w:p w:rsidR="00704BAA" w:rsidRPr="002E5DFD" w:rsidRDefault="00704BAA" w:rsidP="00F57DDC">
      <w:pPr>
        <w:pStyle w:val="ListParagraph"/>
        <w:numPr>
          <w:ilvl w:val="0"/>
          <w:numId w:val="3"/>
        </w:numPr>
        <w:spacing w:after="0" w:line="240" w:lineRule="auto"/>
        <w:rPr>
          <w:rFonts w:cs="Calibri"/>
        </w:rPr>
      </w:pPr>
      <w:r w:rsidRPr="002E5DFD">
        <w:rPr>
          <w:rFonts w:cs="Calibri"/>
        </w:rPr>
        <w:t xml:space="preserve">LBR Template and Glossary of Terms </w:t>
      </w:r>
    </w:p>
    <w:p w:rsidR="00704BAA" w:rsidRPr="002E5DFD" w:rsidRDefault="006C4C59" w:rsidP="00F57DDC">
      <w:pPr>
        <w:pStyle w:val="ListParagraph"/>
        <w:numPr>
          <w:ilvl w:val="0"/>
          <w:numId w:val="5"/>
        </w:numPr>
        <w:spacing w:after="0" w:line="240" w:lineRule="auto"/>
        <w:rPr>
          <w:rFonts w:cs="Calibri"/>
        </w:rPr>
      </w:pPr>
      <w:r>
        <w:rPr>
          <w:rFonts w:cs="Calibri"/>
        </w:rPr>
        <w:t xml:space="preserve">      </w:t>
      </w:r>
      <w:r w:rsidR="00704BAA" w:rsidRPr="002E5DFD">
        <w:rPr>
          <w:rFonts w:cs="Calibri"/>
        </w:rPr>
        <w:t>LBR Template</w:t>
      </w:r>
      <w:r w:rsidR="00704BAA" w:rsidRPr="002E5DFD">
        <w:rPr>
          <w:rFonts w:cs="Calibri"/>
        </w:rPr>
        <w:tab/>
      </w:r>
      <w:r w:rsidR="00704BAA" w:rsidRPr="002E5DFD">
        <w:rPr>
          <w:rFonts w:cs="Calibri"/>
        </w:rPr>
        <w:tab/>
      </w:r>
      <w:r w:rsidR="00704BAA" w:rsidRPr="002E5DFD">
        <w:rPr>
          <w:rFonts w:cs="Calibri"/>
        </w:rPr>
        <w:tab/>
      </w:r>
      <w:r w:rsidR="00704BAA" w:rsidRPr="002E5DFD">
        <w:rPr>
          <w:rFonts w:cs="Calibri"/>
        </w:rPr>
        <w:tab/>
      </w:r>
      <w:r w:rsidR="00704BAA" w:rsidRPr="002E5DFD">
        <w:rPr>
          <w:rFonts w:cs="Calibri"/>
        </w:rPr>
        <w:tab/>
      </w:r>
      <w:r w:rsidR="00704BAA" w:rsidRPr="002E5DFD">
        <w:rPr>
          <w:rFonts w:cs="Calibri"/>
        </w:rPr>
        <w:tab/>
      </w:r>
      <w:r w:rsidR="00704BAA" w:rsidRPr="002E5DFD">
        <w:rPr>
          <w:rFonts w:cs="Calibri"/>
        </w:rPr>
        <w:tab/>
      </w:r>
      <w:r w:rsidR="00704BAA" w:rsidRPr="002E5DFD">
        <w:rPr>
          <w:rFonts w:cs="Calibri"/>
        </w:rPr>
        <w:tab/>
      </w:r>
      <w:r w:rsidR="00B6278A">
        <w:rPr>
          <w:rFonts w:cs="Calibri"/>
        </w:rPr>
        <w:t>4</w:t>
      </w:r>
    </w:p>
    <w:p w:rsidR="00704BAA" w:rsidRPr="002E5DFD" w:rsidRDefault="006C4C59" w:rsidP="002E5DFD">
      <w:pPr>
        <w:pStyle w:val="ListParagraph"/>
        <w:numPr>
          <w:ilvl w:val="0"/>
          <w:numId w:val="5"/>
        </w:numPr>
        <w:spacing w:after="0" w:line="240" w:lineRule="auto"/>
        <w:rPr>
          <w:rFonts w:cs="Calibri"/>
        </w:rPr>
      </w:pPr>
      <w:r>
        <w:rPr>
          <w:rFonts w:cs="Calibri"/>
        </w:rPr>
        <w:t xml:space="preserve">      </w:t>
      </w:r>
      <w:r w:rsidR="00704BAA" w:rsidRPr="002E5DFD">
        <w:rPr>
          <w:rFonts w:cs="Calibri"/>
        </w:rPr>
        <w:t>Glossary of Terms Used in the LBR Template</w:t>
      </w:r>
      <w:r w:rsidR="00704BAA" w:rsidRPr="002E5DFD">
        <w:rPr>
          <w:rFonts w:cs="Calibri"/>
        </w:rPr>
        <w:tab/>
      </w:r>
      <w:r w:rsidR="00704BAA" w:rsidRPr="002E5DFD">
        <w:rPr>
          <w:rFonts w:cs="Calibri"/>
        </w:rPr>
        <w:tab/>
      </w:r>
      <w:r w:rsidR="00704BAA" w:rsidRPr="002E5DFD">
        <w:rPr>
          <w:rFonts w:cs="Calibri"/>
        </w:rPr>
        <w:tab/>
      </w:r>
      <w:r w:rsidR="00704BAA" w:rsidRPr="002E5DFD">
        <w:rPr>
          <w:rFonts w:cs="Calibri"/>
        </w:rPr>
        <w:tab/>
      </w:r>
      <w:r w:rsidR="00AE0EA9">
        <w:rPr>
          <w:rFonts w:cs="Calibri"/>
        </w:rPr>
        <w:t>6</w:t>
      </w:r>
    </w:p>
    <w:p w:rsidR="00704BAA" w:rsidRPr="002E5DFD" w:rsidRDefault="00704BAA" w:rsidP="00704BAA">
      <w:pPr>
        <w:pStyle w:val="ListParagraph"/>
        <w:spacing w:after="0" w:line="240" w:lineRule="auto"/>
        <w:ind w:left="1080"/>
        <w:rPr>
          <w:rFonts w:cs="Calibri"/>
        </w:rPr>
      </w:pPr>
    </w:p>
    <w:p w:rsidR="00704BAA" w:rsidRPr="002E5DFD" w:rsidRDefault="00704BAA" w:rsidP="00F57DDC">
      <w:pPr>
        <w:pStyle w:val="ListParagraph"/>
        <w:numPr>
          <w:ilvl w:val="0"/>
          <w:numId w:val="3"/>
        </w:numPr>
        <w:spacing w:after="0" w:line="240" w:lineRule="auto"/>
        <w:rPr>
          <w:rFonts w:cs="Calibri"/>
        </w:rPr>
      </w:pPr>
      <w:r w:rsidRPr="002E5DFD">
        <w:rPr>
          <w:rFonts w:cs="Calibri"/>
        </w:rPr>
        <w:t>Derivation of kWh Savings</w:t>
      </w:r>
    </w:p>
    <w:p w:rsidR="00704BAA" w:rsidRPr="002E5DFD" w:rsidRDefault="00704BAA" w:rsidP="00704BAA">
      <w:pPr>
        <w:pStyle w:val="ListParagraph"/>
        <w:spacing w:after="0" w:line="240" w:lineRule="auto"/>
        <w:ind w:left="1080" w:firstLine="360"/>
        <w:rPr>
          <w:rFonts w:cs="Calibri"/>
        </w:rPr>
      </w:pPr>
      <w:r w:rsidRPr="002E5DFD">
        <w:rPr>
          <w:rFonts w:cs="Calibri"/>
        </w:rPr>
        <w:t>A.</w:t>
      </w:r>
      <w:r w:rsidRPr="002E5DFD">
        <w:rPr>
          <w:rFonts w:cs="Calibri"/>
        </w:rPr>
        <w:tab/>
        <w:t>Gross kWh Savings</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9</w:t>
      </w:r>
    </w:p>
    <w:p w:rsidR="00704BAA" w:rsidRPr="002E5DFD" w:rsidRDefault="00704BAA" w:rsidP="00704BAA">
      <w:pPr>
        <w:pStyle w:val="ListParagraph"/>
        <w:spacing w:after="0" w:line="240" w:lineRule="auto"/>
        <w:ind w:left="1080" w:firstLine="360"/>
        <w:rPr>
          <w:rFonts w:cs="Calibri"/>
        </w:rPr>
      </w:pPr>
      <w:r w:rsidRPr="002E5DFD">
        <w:rPr>
          <w:rFonts w:cs="Calibri"/>
        </w:rPr>
        <w:t>B.</w:t>
      </w:r>
      <w:r w:rsidRPr="002E5DFD">
        <w:rPr>
          <w:rFonts w:cs="Calibri"/>
        </w:rPr>
        <w:tab/>
        <w:t>Net to Gross Percentage</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10</w:t>
      </w:r>
    </w:p>
    <w:p w:rsidR="00704BAA" w:rsidRPr="002E5DFD" w:rsidRDefault="00704BAA" w:rsidP="00704BAA">
      <w:pPr>
        <w:pStyle w:val="ListParagraph"/>
        <w:spacing w:after="0" w:line="240" w:lineRule="auto"/>
        <w:ind w:left="1080" w:firstLine="360"/>
        <w:rPr>
          <w:rFonts w:cs="Calibri"/>
        </w:rPr>
      </w:pPr>
      <w:r w:rsidRPr="002E5DFD">
        <w:rPr>
          <w:rFonts w:cs="Calibri"/>
        </w:rPr>
        <w:t>C.</w:t>
      </w:r>
      <w:r w:rsidRPr="002E5DFD">
        <w:rPr>
          <w:rFonts w:cs="Calibri"/>
        </w:rPr>
        <w:tab/>
        <w:t>In Service Rate</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10</w:t>
      </w:r>
    </w:p>
    <w:p w:rsidR="00704BAA" w:rsidRPr="002E5DFD" w:rsidRDefault="00704BAA" w:rsidP="00704BAA">
      <w:pPr>
        <w:pStyle w:val="ListParagraph"/>
        <w:spacing w:after="0" w:line="240" w:lineRule="auto"/>
        <w:ind w:left="1080" w:firstLine="360"/>
        <w:rPr>
          <w:rFonts w:cs="Calibri"/>
          <w:color w:val="000000"/>
        </w:rPr>
      </w:pPr>
      <w:r w:rsidRPr="002E5DFD">
        <w:rPr>
          <w:rFonts w:cs="Calibri"/>
        </w:rPr>
        <w:t>D.</w:t>
      </w:r>
      <w:r w:rsidRPr="002E5DFD">
        <w:rPr>
          <w:rFonts w:cs="Calibri"/>
        </w:rPr>
        <w:tab/>
        <w:t>Realization Rate</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10</w:t>
      </w:r>
    </w:p>
    <w:p w:rsidR="00704BAA" w:rsidRPr="002E5DFD" w:rsidRDefault="00704BAA" w:rsidP="00704BAA">
      <w:pPr>
        <w:pStyle w:val="Heading2"/>
        <w:numPr>
          <w:ilvl w:val="0"/>
          <w:numId w:val="0"/>
        </w:numPr>
        <w:spacing w:before="0" w:line="240" w:lineRule="auto"/>
        <w:ind w:left="720" w:firstLine="720"/>
        <w:rPr>
          <w:rFonts w:ascii="Calibri" w:hAnsi="Calibri" w:cs="Calibri"/>
          <w:color w:val="000000"/>
        </w:rPr>
      </w:pPr>
      <w:r w:rsidRPr="002E5DFD">
        <w:rPr>
          <w:rFonts w:ascii="Calibri" w:hAnsi="Calibri" w:cs="Calibri"/>
          <w:color w:val="000000"/>
        </w:rPr>
        <w:t>E.</w:t>
      </w:r>
      <w:r w:rsidRPr="002E5DFD">
        <w:rPr>
          <w:rFonts w:ascii="Calibri" w:hAnsi="Calibri" w:cs="Calibri"/>
          <w:color w:val="000000"/>
        </w:rPr>
        <w:tab/>
      </w:r>
      <w:r w:rsidRPr="002E5DFD">
        <w:rPr>
          <w:rFonts w:ascii="Calibri" w:hAnsi="Calibri" w:cs="Calibri"/>
          <w:color w:val="000000"/>
          <w:sz w:val="22"/>
          <w:szCs w:val="22"/>
        </w:rPr>
        <w:t>Retirement Adjustment</w:t>
      </w:r>
      <w:r w:rsidRPr="002E5DFD">
        <w:rPr>
          <w:rFonts w:ascii="Calibri" w:hAnsi="Calibri" w:cs="Calibri"/>
          <w:color w:val="000000"/>
          <w:sz w:val="22"/>
          <w:szCs w:val="22"/>
        </w:rPr>
        <w:tab/>
      </w:r>
      <w:r w:rsidRPr="002E5DFD">
        <w:rPr>
          <w:rFonts w:ascii="Calibri" w:hAnsi="Calibri" w:cs="Calibri"/>
          <w:color w:val="000000"/>
          <w:sz w:val="22"/>
          <w:szCs w:val="22"/>
        </w:rPr>
        <w:tab/>
      </w:r>
      <w:r w:rsidRPr="002E5DFD">
        <w:rPr>
          <w:rFonts w:ascii="Calibri" w:hAnsi="Calibri" w:cs="Calibri"/>
          <w:color w:val="000000"/>
          <w:sz w:val="22"/>
          <w:szCs w:val="22"/>
        </w:rPr>
        <w:tab/>
      </w:r>
      <w:r w:rsidRPr="002E5DFD">
        <w:rPr>
          <w:rFonts w:ascii="Calibri" w:hAnsi="Calibri" w:cs="Calibri"/>
          <w:color w:val="000000"/>
          <w:sz w:val="22"/>
          <w:szCs w:val="22"/>
        </w:rPr>
        <w:tab/>
      </w:r>
      <w:r w:rsidRPr="002E5DFD">
        <w:rPr>
          <w:rFonts w:ascii="Calibri" w:hAnsi="Calibri" w:cs="Calibri"/>
          <w:color w:val="000000"/>
          <w:sz w:val="22"/>
          <w:szCs w:val="22"/>
        </w:rPr>
        <w:tab/>
      </w:r>
      <w:r w:rsidRPr="002E5DFD">
        <w:rPr>
          <w:rFonts w:ascii="Calibri" w:hAnsi="Calibri" w:cs="Calibri"/>
          <w:color w:val="000000"/>
          <w:sz w:val="22"/>
          <w:szCs w:val="22"/>
        </w:rPr>
        <w:tab/>
      </w:r>
      <w:r w:rsidRPr="002E5DFD">
        <w:rPr>
          <w:rFonts w:ascii="Calibri" w:hAnsi="Calibri" w:cs="Calibri"/>
          <w:color w:val="000000"/>
          <w:sz w:val="22"/>
          <w:szCs w:val="22"/>
        </w:rPr>
        <w:tab/>
      </w:r>
      <w:r w:rsidR="00AE0EA9">
        <w:rPr>
          <w:rFonts w:ascii="Calibri" w:hAnsi="Calibri" w:cs="Calibri"/>
          <w:color w:val="000000"/>
          <w:sz w:val="22"/>
          <w:szCs w:val="22"/>
          <w:lang w:val="en-US"/>
        </w:rPr>
        <w:t>10</w:t>
      </w:r>
    </w:p>
    <w:p w:rsidR="00704BAA" w:rsidRPr="002E5DFD" w:rsidRDefault="00704BAA" w:rsidP="00704BAA">
      <w:pPr>
        <w:pStyle w:val="ListParagraph"/>
        <w:spacing w:after="0" w:line="240" w:lineRule="auto"/>
        <w:ind w:left="1080"/>
        <w:rPr>
          <w:rFonts w:cs="Calibri"/>
          <w:color w:val="000000"/>
        </w:rPr>
      </w:pPr>
    </w:p>
    <w:p w:rsidR="00704BAA" w:rsidRPr="002E5DFD" w:rsidRDefault="00704BAA" w:rsidP="00F57DDC">
      <w:pPr>
        <w:pStyle w:val="ListParagraph"/>
        <w:numPr>
          <w:ilvl w:val="0"/>
          <w:numId w:val="3"/>
        </w:numPr>
        <w:spacing w:after="0" w:line="240" w:lineRule="auto"/>
        <w:rPr>
          <w:rFonts w:cs="Calibri"/>
        </w:rPr>
      </w:pPr>
      <w:r w:rsidRPr="002E5DFD">
        <w:rPr>
          <w:rFonts w:cs="Calibri"/>
        </w:rPr>
        <w:t>Derivation of kW Savings</w:t>
      </w:r>
      <w:r w:rsidR="00347CF9" w:rsidRPr="002E5DFD">
        <w:rPr>
          <w:rFonts w:cs="Calibri"/>
        </w:rPr>
        <w:t xml:space="preserve"> for Commercial and Industrial Customers</w:t>
      </w:r>
    </w:p>
    <w:p w:rsidR="00704BAA" w:rsidRPr="002E5DFD" w:rsidRDefault="00704BAA" w:rsidP="00704BAA">
      <w:pPr>
        <w:pStyle w:val="ListParagraph"/>
        <w:spacing w:after="0" w:line="240" w:lineRule="auto"/>
        <w:ind w:left="1080" w:firstLine="360"/>
        <w:rPr>
          <w:rFonts w:cs="Calibri"/>
        </w:rPr>
      </w:pPr>
      <w:r w:rsidRPr="002E5DFD">
        <w:rPr>
          <w:rFonts w:cs="Calibri"/>
        </w:rPr>
        <w:t>A.</w:t>
      </w:r>
      <w:r w:rsidRPr="002E5DFD">
        <w:rPr>
          <w:rFonts w:cs="Calibri"/>
        </w:rPr>
        <w:tab/>
        <w:t>Connected Load Savings (kW)</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10</w:t>
      </w:r>
    </w:p>
    <w:p w:rsidR="00704BAA" w:rsidRPr="002E5DFD" w:rsidRDefault="00704BAA" w:rsidP="00704BAA">
      <w:pPr>
        <w:pStyle w:val="ListParagraph"/>
        <w:spacing w:after="0" w:line="240" w:lineRule="auto"/>
        <w:ind w:left="1080" w:firstLine="360"/>
        <w:rPr>
          <w:rFonts w:cs="Calibri"/>
        </w:rPr>
      </w:pPr>
      <w:r w:rsidRPr="002E5DFD">
        <w:rPr>
          <w:rFonts w:cs="Calibri"/>
        </w:rPr>
        <w:t>B.</w:t>
      </w:r>
      <w:r w:rsidRPr="002E5DFD">
        <w:rPr>
          <w:rFonts w:cs="Calibri"/>
        </w:rPr>
        <w:tab/>
        <w:t>Customer Peak Coincident Factor (CF)</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11</w:t>
      </w:r>
    </w:p>
    <w:p w:rsidR="00704BAA" w:rsidRPr="002E5DFD" w:rsidRDefault="00704BAA" w:rsidP="00704BAA">
      <w:pPr>
        <w:pStyle w:val="ListParagraph"/>
        <w:spacing w:after="0" w:line="240" w:lineRule="auto"/>
        <w:ind w:left="1080" w:firstLine="360"/>
        <w:rPr>
          <w:rFonts w:cs="Calibri"/>
        </w:rPr>
      </w:pPr>
      <w:r w:rsidRPr="002E5DFD">
        <w:rPr>
          <w:rFonts w:cs="Calibri"/>
        </w:rPr>
        <w:t>C.</w:t>
      </w:r>
      <w:r w:rsidRPr="002E5DFD">
        <w:rPr>
          <w:rFonts w:cs="Calibri"/>
        </w:rPr>
        <w:tab/>
        <w:t>Net to Gross Percentage</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14</w:t>
      </w:r>
    </w:p>
    <w:p w:rsidR="00704BAA" w:rsidRPr="002E5DFD" w:rsidRDefault="00704BAA" w:rsidP="00704BAA">
      <w:pPr>
        <w:pStyle w:val="ListParagraph"/>
        <w:spacing w:after="0" w:line="240" w:lineRule="auto"/>
        <w:ind w:left="1080" w:firstLine="360"/>
        <w:rPr>
          <w:rFonts w:cs="Calibri"/>
        </w:rPr>
      </w:pPr>
      <w:r w:rsidRPr="002E5DFD">
        <w:rPr>
          <w:rFonts w:cs="Calibri"/>
        </w:rPr>
        <w:t>D.</w:t>
      </w:r>
      <w:r w:rsidRPr="002E5DFD">
        <w:rPr>
          <w:rFonts w:cs="Calibri"/>
        </w:rPr>
        <w:tab/>
        <w:t>In-Service Rate</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14</w:t>
      </w:r>
    </w:p>
    <w:p w:rsidR="00704BAA" w:rsidRPr="002E5DFD" w:rsidRDefault="00704BAA" w:rsidP="00704BAA">
      <w:pPr>
        <w:pStyle w:val="ListParagraph"/>
        <w:spacing w:after="0" w:line="240" w:lineRule="auto"/>
        <w:ind w:left="1080" w:firstLine="360"/>
        <w:rPr>
          <w:rFonts w:cs="Calibri"/>
        </w:rPr>
      </w:pPr>
      <w:r w:rsidRPr="002E5DFD">
        <w:rPr>
          <w:rFonts w:cs="Calibri"/>
        </w:rPr>
        <w:t>E.</w:t>
      </w:r>
      <w:r w:rsidRPr="002E5DFD">
        <w:rPr>
          <w:rFonts w:cs="Calibri"/>
        </w:rPr>
        <w:tab/>
        <w:t>Realization Rate</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15</w:t>
      </w:r>
    </w:p>
    <w:p w:rsidR="00704BAA" w:rsidRPr="002E5DFD" w:rsidRDefault="00704BAA" w:rsidP="00704BAA">
      <w:pPr>
        <w:pStyle w:val="ListParagraph"/>
        <w:spacing w:after="0" w:line="240" w:lineRule="auto"/>
        <w:ind w:left="1080" w:firstLine="360"/>
        <w:rPr>
          <w:rFonts w:cs="Calibri"/>
        </w:rPr>
      </w:pPr>
      <w:r w:rsidRPr="002E5DFD">
        <w:rPr>
          <w:rFonts w:cs="Calibri"/>
        </w:rPr>
        <w:t>F.</w:t>
      </w:r>
      <w:r w:rsidRPr="002E5DFD">
        <w:rPr>
          <w:rFonts w:cs="Calibri"/>
        </w:rPr>
        <w:tab/>
        <w:t>Retirement Adjustment</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15</w:t>
      </w:r>
    </w:p>
    <w:p w:rsidR="00704BAA" w:rsidRPr="002E5DFD" w:rsidRDefault="00704BAA" w:rsidP="00704BAA">
      <w:pPr>
        <w:pStyle w:val="ListParagraph"/>
        <w:spacing w:after="0" w:line="240" w:lineRule="auto"/>
        <w:ind w:left="1080"/>
        <w:rPr>
          <w:rFonts w:cs="Calibri"/>
        </w:rPr>
      </w:pPr>
    </w:p>
    <w:p w:rsidR="00704BAA" w:rsidRPr="002E5DFD" w:rsidRDefault="00704BAA" w:rsidP="00F57DDC">
      <w:pPr>
        <w:pStyle w:val="ListParagraph"/>
        <w:numPr>
          <w:ilvl w:val="0"/>
          <w:numId w:val="3"/>
        </w:numPr>
        <w:spacing w:after="0" w:line="240" w:lineRule="auto"/>
        <w:rPr>
          <w:rFonts w:cs="Calibri"/>
        </w:rPr>
      </w:pPr>
      <w:r w:rsidRPr="002E5DFD">
        <w:rPr>
          <w:rFonts w:cs="Calibri"/>
        </w:rPr>
        <w:t xml:space="preserve">Derivation of </w:t>
      </w:r>
      <w:r w:rsidR="00200926">
        <w:rPr>
          <w:rFonts w:cs="Calibri"/>
        </w:rPr>
        <w:t xml:space="preserve">Lost Base Revenue </w:t>
      </w:r>
      <w:r w:rsidRPr="002E5DFD">
        <w:rPr>
          <w:rFonts w:cs="Calibri"/>
        </w:rPr>
        <w:t>Average Distribution Rates (</w:t>
      </w:r>
      <w:r w:rsidR="00200926">
        <w:rPr>
          <w:rFonts w:cs="Calibri"/>
        </w:rPr>
        <w:t xml:space="preserve">LBR </w:t>
      </w:r>
      <w:r w:rsidRPr="002E5DFD">
        <w:rPr>
          <w:rFonts w:cs="Calibri"/>
        </w:rPr>
        <w:t>ADR)</w:t>
      </w:r>
    </w:p>
    <w:p w:rsidR="00704BAA" w:rsidRPr="002E5DFD" w:rsidRDefault="00704BAA" w:rsidP="00704BAA">
      <w:pPr>
        <w:pStyle w:val="ListParagraph"/>
        <w:spacing w:after="0" w:line="240" w:lineRule="auto"/>
        <w:ind w:left="1080" w:firstLine="360"/>
        <w:rPr>
          <w:rFonts w:cs="Calibri"/>
        </w:rPr>
      </w:pPr>
      <w:r w:rsidRPr="002E5DFD">
        <w:rPr>
          <w:rFonts w:cs="Calibri"/>
        </w:rPr>
        <w:t>A.</w:t>
      </w:r>
      <w:r w:rsidRPr="002E5DFD">
        <w:rPr>
          <w:rFonts w:cs="Calibri"/>
        </w:rPr>
        <w:tab/>
        <w:t xml:space="preserve">Description:  How </w:t>
      </w:r>
      <w:r w:rsidR="00606666">
        <w:rPr>
          <w:rFonts w:cs="Calibri"/>
        </w:rPr>
        <w:t xml:space="preserve">is </w:t>
      </w:r>
      <w:r w:rsidR="00200926">
        <w:rPr>
          <w:rFonts w:cs="Calibri"/>
        </w:rPr>
        <w:t xml:space="preserve">LBR </w:t>
      </w:r>
      <w:r w:rsidRPr="002E5DFD">
        <w:rPr>
          <w:rFonts w:cs="Calibri"/>
        </w:rPr>
        <w:t>ADR Calculated</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16</w:t>
      </w:r>
    </w:p>
    <w:p w:rsidR="00704BAA" w:rsidRPr="002E5DFD" w:rsidRDefault="00704BAA" w:rsidP="00704BAA">
      <w:pPr>
        <w:pStyle w:val="ListParagraph"/>
        <w:spacing w:after="0" w:line="240" w:lineRule="auto"/>
        <w:ind w:left="1080" w:firstLine="360"/>
        <w:rPr>
          <w:rFonts w:cs="Calibri"/>
        </w:rPr>
      </w:pPr>
      <w:r w:rsidRPr="002E5DFD">
        <w:rPr>
          <w:rFonts w:cs="Calibri"/>
        </w:rPr>
        <w:t>B.</w:t>
      </w:r>
      <w:r w:rsidRPr="002E5DFD">
        <w:rPr>
          <w:rFonts w:cs="Calibri"/>
        </w:rPr>
        <w:tab/>
        <w:t xml:space="preserve">Distribution Rates and Billing Determinants Used in the </w:t>
      </w:r>
      <w:r w:rsidR="00200926">
        <w:rPr>
          <w:rFonts w:cs="Calibri"/>
        </w:rPr>
        <w:t xml:space="preserve">LBR </w:t>
      </w:r>
      <w:r w:rsidRPr="002E5DFD">
        <w:rPr>
          <w:rFonts w:cs="Calibri"/>
        </w:rPr>
        <w:t>ADR</w:t>
      </w:r>
      <w:r w:rsidRPr="002E5DFD">
        <w:rPr>
          <w:rFonts w:cs="Calibri"/>
        </w:rPr>
        <w:tab/>
      </w:r>
      <w:r w:rsidRPr="002E5DFD">
        <w:rPr>
          <w:rFonts w:cs="Calibri"/>
        </w:rPr>
        <w:tab/>
      </w:r>
      <w:r w:rsidR="00AE0EA9">
        <w:rPr>
          <w:rFonts w:cs="Calibri"/>
        </w:rPr>
        <w:t>16</w:t>
      </w:r>
    </w:p>
    <w:p w:rsidR="00704BAA" w:rsidRPr="002E5DFD" w:rsidRDefault="00704BAA" w:rsidP="00704BAA">
      <w:pPr>
        <w:pStyle w:val="ListParagraph"/>
        <w:spacing w:after="0" w:line="240" w:lineRule="auto"/>
        <w:ind w:left="1080" w:firstLine="360"/>
        <w:rPr>
          <w:rFonts w:cs="Calibri"/>
        </w:rPr>
      </w:pPr>
      <w:r w:rsidRPr="002E5DFD">
        <w:rPr>
          <w:rFonts w:cs="Calibri"/>
        </w:rPr>
        <w:t>C.</w:t>
      </w:r>
      <w:r w:rsidRPr="002E5DFD">
        <w:rPr>
          <w:rFonts w:cs="Calibri"/>
        </w:rPr>
        <w:tab/>
        <w:t>Summary of LBR</w:t>
      </w:r>
      <w:r w:rsidR="00200926">
        <w:rPr>
          <w:rFonts w:cs="Calibri"/>
        </w:rPr>
        <w:t xml:space="preserve"> ADR</w:t>
      </w:r>
      <w:r w:rsidRPr="002E5DFD">
        <w:rPr>
          <w:rFonts w:cs="Calibri"/>
        </w:rPr>
        <w:t xml:space="preserve"> and </w:t>
      </w:r>
      <w:r w:rsidR="00200926">
        <w:rPr>
          <w:rFonts w:cs="Calibri"/>
        </w:rPr>
        <w:t xml:space="preserve">Related </w:t>
      </w:r>
      <w:r w:rsidRPr="002E5DFD">
        <w:rPr>
          <w:rFonts w:cs="Calibri"/>
        </w:rPr>
        <w:t>Schedules</w:t>
      </w:r>
      <w:r w:rsidRPr="002E5DFD">
        <w:rPr>
          <w:rFonts w:cs="Calibri"/>
        </w:rPr>
        <w:tab/>
      </w:r>
      <w:r w:rsidRPr="002E5DFD">
        <w:rPr>
          <w:rFonts w:cs="Calibri"/>
        </w:rPr>
        <w:tab/>
      </w:r>
      <w:r w:rsidRPr="002E5DFD">
        <w:rPr>
          <w:rFonts w:cs="Calibri"/>
        </w:rPr>
        <w:tab/>
      </w:r>
      <w:r w:rsidRPr="002E5DFD">
        <w:rPr>
          <w:rFonts w:cs="Calibri"/>
        </w:rPr>
        <w:tab/>
        <w:t>14</w:t>
      </w:r>
    </w:p>
    <w:p w:rsidR="00704BAA" w:rsidRPr="002E5DFD" w:rsidRDefault="00704BAA" w:rsidP="00704BAA">
      <w:pPr>
        <w:pStyle w:val="ListParagraph"/>
        <w:spacing w:after="0" w:line="240" w:lineRule="auto"/>
        <w:ind w:left="1080"/>
        <w:rPr>
          <w:rFonts w:cs="Calibri"/>
        </w:rPr>
      </w:pPr>
    </w:p>
    <w:p w:rsidR="00704BAA" w:rsidRPr="002E5DFD" w:rsidRDefault="00704BAA" w:rsidP="00F57DDC">
      <w:pPr>
        <w:pStyle w:val="ListParagraph"/>
        <w:numPr>
          <w:ilvl w:val="0"/>
          <w:numId w:val="3"/>
        </w:numPr>
        <w:spacing w:after="0" w:line="240" w:lineRule="auto"/>
        <w:rPr>
          <w:rFonts w:cs="Calibri"/>
        </w:rPr>
      </w:pPr>
      <w:r w:rsidRPr="002E5DFD">
        <w:rPr>
          <w:rFonts w:cs="Calibri"/>
        </w:rPr>
        <w:t>Discussion of Ratchets</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17</w:t>
      </w:r>
    </w:p>
    <w:p w:rsidR="00704BAA" w:rsidRPr="002E5DFD" w:rsidRDefault="00704BAA" w:rsidP="00704BAA">
      <w:pPr>
        <w:pStyle w:val="ListParagraph"/>
        <w:spacing w:after="0" w:line="240" w:lineRule="auto"/>
        <w:ind w:left="360"/>
        <w:rPr>
          <w:rFonts w:cs="Calibri"/>
        </w:rPr>
      </w:pPr>
    </w:p>
    <w:p w:rsidR="00704BAA" w:rsidRPr="002E5DFD" w:rsidRDefault="00704BAA" w:rsidP="00F57DDC">
      <w:pPr>
        <w:pStyle w:val="ListParagraph"/>
        <w:numPr>
          <w:ilvl w:val="0"/>
          <w:numId w:val="3"/>
        </w:numPr>
        <w:spacing w:after="0" w:line="240" w:lineRule="auto"/>
        <w:rPr>
          <w:rFonts w:cs="Calibri"/>
        </w:rPr>
      </w:pPr>
      <w:r w:rsidRPr="002E5DFD">
        <w:rPr>
          <w:rFonts w:cs="Calibri"/>
        </w:rPr>
        <w:t>Actual LBR Calculation</w:t>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Pr="002E5DFD">
        <w:rPr>
          <w:rFonts w:cs="Calibri"/>
        </w:rPr>
        <w:tab/>
      </w:r>
      <w:r w:rsidR="00AE0EA9">
        <w:rPr>
          <w:rFonts w:cs="Calibri"/>
        </w:rPr>
        <w:t>18</w:t>
      </w:r>
    </w:p>
    <w:p w:rsidR="00704BAA" w:rsidRPr="002E5DFD" w:rsidRDefault="00704BAA" w:rsidP="00704BAA">
      <w:pPr>
        <w:pStyle w:val="ListParagraph"/>
        <w:spacing w:after="0" w:line="240" w:lineRule="auto"/>
        <w:ind w:left="360"/>
        <w:rPr>
          <w:rFonts w:cs="Calibri"/>
        </w:rPr>
      </w:pPr>
    </w:p>
    <w:p w:rsidR="00704BAA" w:rsidRPr="002E5DFD" w:rsidRDefault="00704BAA" w:rsidP="00704BAA">
      <w:pPr>
        <w:pStyle w:val="ListParagraph"/>
        <w:spacing w:after="0" w:line="240" w:lineRule="auto"/>
        <w:ind w:left="360"/>
        <w:rPr>
          <w:rFonts w:cs="Calibri"/>
        </w:rPr>
      </w:pPr>
      <w:r w:rsidRPr="002E5DFD">
        <w:rPr>
          <w:rFonts w:cs="Calibri"/>
        </w:rPr>
        <w:t>Appendices</w:t>
      </w:r>
    </w:p>
    <w:p w:rsidR="00704BAA" w:rsidRPr="002E5DFD" w:rsidRDefault="00817897" w:rsidP="00817897">
      <w:pPr>
        <w:pStyle w:val="ListParagraph"/>
        <w:spacing w:after="0" w:line="240" w:lineRule="auto"/>
        <w:ind w:firstLine="720"/>
        <w:rPr>
          <w:rFonts w:cs="Calibri"/>
        </w:rPr>
      </w:pPr>
      <w:r>
        <w:rPr>
          <w:rFonts w:cs="Calibri"/>
        </w:rPr>
        <w:t>A.</w:t>
      </w:r>
      <w:r>
        <w:rPr>
          <w:rFonts w:cs="Calibri"/>
        </w:rPr>
        <w:tab/>
      </w:r>
      <w:r w:rsidR="00704BAA" w:rsidRPr="002E5DFD">
        <w:rPr>
          <w:rFonts w:cs="Calibri"/>
        </w:rPr>
        <w:t>2019-2020 LBR Savings Calculation Templates</w:t>
      </w:r>
      <w:r w:rsidR="00704BAA" w:rsidRPr="002E5DFD">
        <w:rPr>
          <w:rFonts w:cs="Calibri"/>
        </w:rPr>
        <w:tab/>
      </w:r>
      <w:r w:rsidR="00704BAA" w:rsidRPr="002E5DFD">
        <w:rPr>
          <w:rFonts w:cs="Calibri"/>
        </w:rPr>
        <w:tab/>
      </w:r>
      <w:r w:rsidR="00704BAA" w:rsidRPr="002E5DFD">
        <w:rPr>
          <w:rFonts w:cs="Calibri"/>
        </w:rPr>
        <w:tab/>
      </w:r>
      <w:r>
        <w:rPr>
          <w:rFonts w:cs="Calibri"/>
        </w:rPr>
        <w:tab/>
      </w:r>
      <w:r w:rsidR="00AE0EA9">
        <w:rPr>
          <w:rFonts w:cs="Calibri"/>
        </w:rPr>
        <w:t>21</w:t>
      </w:r>
    </w:p>
    <w:p w:rsidR="00704BAA" w:rsidRPr="002E5DFD" w:rsidRDefault="00817897" w:rsidP="00817897">
      <w:pPr>
        <w:pStyle w:val="ListParagraph"/>
        <w:spacing w:after="0" w:line="240" w:lineRule="auto"/>
        <w:ind w:firstLine="720"/>
        <w:rPr>
          <w:rFonts w:cs="Calibri"/>
        </w:rPr>
      </w:pPr>
      <w:r>
        <w:rPr>
          <w:rFonts w:cs="Calibri"/>
        </w:rPr>
        <w:t>B.</w:t>
      </w:r>
      <w:r>
        <w:rPr>
          <w:rFonts w:cs="Calibri"/>
        </w:rPr>
        <w:tab/>
      </w:r>
      <w:r w:rsidR="00704BAA" w:rsidRPr="002E5DFD">
        <w:rPr>
          <w:rFonts w:cs="Calibri"/>
        </w:rPr>
        <w:t>Planned kW and kWh savings for Lost Based Revenues</w:t>
      </w:r>
      <w:r w:rsidR="00704BAA" w:rsidRPr="002E5DFD">
        <w:rPr>
          <w:rFonts w:cs="Calibri"/>
        </w:rPr>
        <w:tab/>
      </w:r>
      <w:r>
        <w:rPr>
          <w:rFonts w:cs="Calibri"/>
        </w:rPr>
        <w:tab/>
      </w:r>
      <w:r>
        <w:rPr>
          <w:rFonts w:cs="Calibri"/>
        </w:rPr>
        <w:tab/>
      </w:r>
      <w:r w:rsidR="00AE0EA9">
        <w:rPr>
          <w:rFonts w:cs="Calibri"/>
        </w:rPr>
        <w:t>22</w:t>
      </w:r>
    </w:p>
    <w:p w:rsidR="00704BAA" w:rsidRPr="002E5DFD" w:rsidRDefault="00817897" w:rsidP="00817897">
      <w:pPr>
        <w:pStyle w:val="ListParagraph"/>
        <w:spacing w:after="0" w:line="240" w:lineRule="auto"/>
        <w:ind w:firstLine="720"/>
        <w:rPr>
          <w:rFonts w:cs="Calibri"/>
        </w:rPr>
      </w:pPr>
      <w:r>
        <w:rPr>
          <w:rFonts w:cs="Calibri"/>
        </w:rPr>
        <w:t>C.</w:t>
      </w:r>
      <w:r>
        <w:rPr>
          <w:rFonts w:cs="Calibri"/>
        </w:rPr>
        <w:tab/>
      </w:r>
      <w:r w:rsidR="00704BAA" w:rsidRPr="002E5DFD">
        <w:rPr>
          <w:rFonts w:cs="Calibri"/>
        </w:rPr>
        <w:t>Example of Lighting Project Worksheet with kW Savings</w:t>
      </w:r>
      <w:r w:rsidR="00BE2C23">
        <w:rPr>
          <w:rFonts w:cs="Calibri"/>
        </w:rPr>
        <w:tab/>
      </w:r>
      <w:r w:rsidR="00BE2C23">
        <w:rPr>
          <w:rFonts w:cs="Calibri"/>
        </w:rPr>
        <w:tab/>
      </w:r>
      <w:r w:rsidR="00BE2C23">
        <w:rPr>
          <w:rFonts w:cs="Calibri"/>
        </w:rPr>
        <w:tab/>
      </w:r>
      <w:r w:rsidR="00AE0EA9">
        <w:rPr>
          <w:rFonts w:cs="Calibri"/>
        </w:rPr>
        <w:t>25</w:t>
      </w:r>
      <w:r w:rsidR="00704BAA" w:rsidRPr="002E5DFD">
        <w:rPr>
          <w:rFonts w:cs="Calibri"/>
        </w:rPr>
        <w:tab/>
      </w:r>
    </w:p>
    <w:p w:rsidR="00704BAA" w:rsidRPr="002E5DFD" w:rsidRDefault="00817897" w:rsidP="00817897">
      <w:pPr>
        <w:pStyle w:val="ListParagraph"/>
        <w:spacing w:after="0" w:line="240" w:lineRule="auto"/>
        <w:ind w:firstLine="720"/>
        <w:rPr>
          <w:rFonts w:cs="Calibri"/>
        </w:rPr>
      </w:pPr>
      <w:r>
        <w:rPr>
          <w:rFonts w:cs="Calibri"/>
        </w:rPr>
        <w:t>D.</w:t>
      </w:r>
      <w:r>
        <w:rPr>
          <w:rFonts w:cs="Calibri"/>
        </w:rPr>
        <w:tab/>
      </w:r>
      <w:r w:rsidR="00704BAA" w:rsidRPr="002E5DFD">
        <w:rPr>
          <w:rFonts w:cs="Calibri"/>
        </w:rPr>
        <w:t xml:space="preserve">Sample </w:t>
      </w:r>
      <w:r w:rsidR="00200926">
        <w:rPr>
          <w:rFonts w:cs="Calibri"/>
        </w:rPr>
        <w:t xml:space="preserve">LBR </w:t>
      </w:r>
      <w:r w:rsidR="00704BAA" w:rsidRPr="002E5DFD">
        <w:rPr>
          <w:rFonts w:cs="Calibri"/>
        </w:rPr>
        <w:t>ADR Calculations</w:t>
      </w:r>
      <w:r w:rsidR="00BE2C23">
        <w:rPr>
          <w:rFonts w:cs="Calibri"/>
        </w:rPr>
        <w:tab/>
      </w:r>
      <w:r w:rsidR="00BE2C23">
        <w:rPr>
          <w:rFonts w:cs="Calibri"/>
        </w:rPr>
        <w:tab/>
      </w:r>
      <w:r w:rsidR="00BE2C23">
        <w:rPr>
          <w:rFonts w:cs="Calibri"/>
        </w:rPr>
        <w:tab/>
      </w:r>
      <w:r w:rsidR="00BE2C23">
        <w:rPr>
          <w:rFonts w:cs="Calibri"/>
        </w:rPr>
        <w:tab/>
      </w:r>
      <w:r w:rsidR="00BE2C23">
        <w:rPr>
          <w:rFonts w:cs="Calibri"/>
        </w:rPr>
        <w:tab/>
      </w:r>
      <w:r w:rsidR="00BE2C23">
        <w:rPr>
          <w:rFonts w:cs="Calibri"/>
        </w:rPr>
        <w:tab/>
      </w:r>
      <w:r w:rsidR="00AE0EA9">
        <w:rPr>
          <w:rFonts w:cs="Calibri"/>
        </w:rPr>
        <w:t>28</w:t>
      </w:r>
    </w:p>
    <w:p w:rsidR="00704BAA" w:rsidRPr="002E5DFD" w:rsidRDefault="00817897" w:rsidP="00817897">
      <w:pPr>
        <w:pStyle w:val="ListParagraph"/>
        <w:spacing w:after="0" w:line="240" w:lineRule="auto"/>
        <w:ind w:firstLine="720"/>
        <w:rPr>
          <w:rFonts w:cs="Calibri"/>
        </w:rPr>
      </w:pPr>
      <w:r>
        <w:rPr>
          <w:rFonts w:cs="Calibri"/>
        </w:rPr>
        <w:t>D.</w:t>
      </w:r>
      <w:r>
        <w:rPr>
          <w:rFonts w:cs="Calibri"/>
        </w:rPr>
        <w:tab/>
      </w:r>
      <w:r w:rsidR="00704BAA" w:rsidRPr="002E5DFD">
        <w:rPr>
          <w:rFonts w:cs="Calibri"/>
        </w:rPr>
        <w:t>Ratchet Analysis</w:t>
      </w:r>
      <w:r w:rsidR="00BE2C23">
        <w:rPr>
          <w:rFonts w:cs="Calibri"/>
        </w:rPr>
        <w:tab/>
      </w:r>
      <w:r w:rsidR="00BE2C23">
        <w:rPr>
          <w:rFonts w:cs="Calibri"/>
        </w:rPr>
        <w:tab/>
      </w:r>
      <w:r w:rsidR="00BE2C23">
        <w:rPr>
          <w:rFonts w:cs="Calibri"/>
        </w:rPr>
        <w:tab/>
      </w:r>
      <w:r w:rsidR="00BE2C23">
        <w:rPr>
          <w:rFonts w:cs="Calibri"/>
        </w:rPr>
        <w:tab/>
      </w:r>
      <w:r w:rsidR="00BE2C23">
        <w:rPr>
          <w:rFonts w:cs="Calibri"/>
        </w:rPr>
        <w:tab/>
      </w:r>
      <w:r w:rsidR="00BE2C23">
        <w:rPr>
          <w:rFonts w:cs="Calibri"/>
        </w:rPr>
        <w:tab/>
      </w:r>
      <w:r w:rsidR="00BE2C23">
        <w:rPr>
          <w:rFonts w:cs="Calibri"/>
        </w:rPr>
        <w:tab/>
      </w:r>
      <w:r w:rsidR="00AE0EA9">
        <w:rPr>
          <w:rFonts w:cs="Calibri"/>
        </w:rPr>
        <w:t>28</w:t>
      </w:r>
    </w:p>
    <w:p w:rsidR="00704BAA" w:rsidRPr="002E5DFD" w:rsidRDefault="00817897" w:rsidP="00817897">
      <w:pPr>
        <w:pStyle w:val="ListParagraph"/>
        <w:spacing w:after="0" w:line="240" w:lineRule="auto"/>
        <w:ind w:firstLine="720"/>
        <w:rPr>
          <w:rFonts w:cs="Calibri"/>
        </w:rPr>
      </w:pPr>
      <w:bookmarkStart w:id="0" w:name="OLE_LINK2"/>
      <w:bookmarkStart w:id="1" w:name="OLE_LINK1"/>
      <w:r>
        <w:rPr>
          <w:rFonts w:cs="Calibri"/>
        </w:rPr>
        <w:t>F.</w:t>
      </w:r>
      <w:r>
        <w:rPr>
          <w:rFonts w:cs="Calibri"/>
        </w:rPr>
        <w:tab/>
      </w:r>
      <w:r w:rsidR="00704BAA" w:rsidRPr="002E5DFD">
        <w:rPr>
          <w:rFonts w:cs="Calibri"/>
        </w:rPr>
        <w:t>Rate GV peak hours and DNV-GL peak load by end use</w:t>
      </w:r>
      <w:r w:rsidR="00BE2C23">
        <w:rPr>
          <w:rFonts w:cs="Calibri"/>
        </w:rPr>
        <w:tab/>
      </w:r>
      <w:r w:rsidR="00BE2C23">
        <w:rPr>
          <w:rFonts w:cs="Calibri"/>
        </w:rPr>
        <w:tab/>
      </w:r>
      <w:r w:rsidR="00BE2C23">
        <w:rPr>
          <w:rFonts w:cs="Calibri"/>
        </w:rPr>
        <w:tab/>
      </w:r>
      <w:r w:rsidR="00AE0EA9">
        <w:rPr>
          <w:rFonts w:cs="Calibri"/>
        </w:rPr>
        <w:t>28</w:t>
      </w:r>
    </w:p>
    <w:p w:rsidR="00704BAA" w:rsidRPr="002E5DFD" w:rsidRDefault="00817897" w:rsidP="00817897">
      <w:pPr>
        <w:pStyle w:val="ListParagraph"/>
        <w:spacing w:after="0" w:line="240" w:lineRule="auto"/>
        <w:ind w:firstLine="720"/>
        <w:rPr>
          <w:rFonts w:cs="Calibri"/>
        </w:rPr>
      </w:pPr>
      <w:r>
        <w:rPr>
          <w:rFonts w:cs="Calibri"/>
        </w:rPr>
        <w:t>G.</w:t>
      </w:r>
      <w:r>
        <w:rPr>
          <w:rFonts w:cs="Calibri"/>
        </w:rPr>
        <w:tab/>
      </w:r>
      <w:r w:rsidR="00704BAA" w:rsidRPr="002E5DFD">
        <w:rPr>
          <w:rFonts w:cs="Calibri"/>
        </w:rPr>
        <w:t>OCA Comments Including Resource Insight</w:t>
      </w:r>
      <w:r w:rsidR="00BE2C23">
        <w:rPr>
          <w:rFonts w:cs="Calibri"/>
        </w:rPr>
        <w:t>, Inc.</w:t>
      </w:r>
      <w:r w:rsidR="00704BAA" w:rsidRPr="002E5DFD">
        <w:rPr>
          <w:rFonts w:cs="Calibri"/>
        </w:rPr>
        <w:t xml:space="preserve"> Comments</w:t>
      </w:r>
      <w:r w:rsidR="00BE2C23">
        <w:rPr>
          <w:rFonts w:cs="Calibri"/>
        </w:rPr>
        <w:tab/>
      </w:r>
      <w:r w:rsidR="00BE2C23">
        <w:rPr>
          <w:rFonts w:cs="Calibri"/>
        </w:rPr>
        <w:tab/>
      </w:r>
      <w:r w:rsidR="00AE0EA9">
        <w:rPr>
          <w:rFonts w:cs="Calibri"/>
        </w:rPr>
        <w:t>28</w:t>
      </w:r>
    </w:p>
    <w:bookmarkEnd w:id="0"/>
    <w:bookmarkEnd w:id="1"/>
    <w:p w:rsidR="00704BAA" w:rsidRPr="002E5DFD" w:rsidRDefault="00704BAA" w:rsidP="00704BAA">
      <w:pPr>
        <w:spacing w:before="120" w:after="120"/>
        <w:rPr>
          <w:rFonts w:cs="Calibri"/>
        </w:rPr>
      </w:pPr>
    </w:p>
    <w:p w:rsidR="00704BAA" w:rsidRPr="002E5DFD" w:rsidRDefault="00704BAA" w:rsidP="00704BAA">
      <w:pPr>
        <w:rPr>
          <w:rFonts w:cs="Calibri"/>
        </w:rPr>
      </w:pPr>
    </w:p>
    <w:p w:rsidR="00704BAA" w:rsidRPr="002E5DFD" w:rsidRDefault="00704BAA" w:rsidP="00EF12E8">
      <w:pPr>
        <w:pStyle w:val="Heading1"/>
        <w:numPr>
          <w:ilvl w:val="0"/>
          <w:numId w:val="0"/>
        </w:numPr>
        <w:spacing w:before="0" w:line="240" w:lineRule="auto"/>
        <w:rPr>
          <w:rFonts w:ascii="Calibri" w:hAnsi="Calibri" w:cs="Calibri"/>
          <w:b/>
          <w:color w:val="auto"/>
          <w:sz w:val="28"/>
          <w:szCs w:val="28"/>
        </w:rPr>
      </w:pPr>
      <w:r w:rsidRPr="002E5DFD">
        <w:rPr>
          <w:rFonts w:ascii="Calibri" w:hAnsi="Calibri" w:cs="Calibri"/>
          <w:b/>
          <w:color w:val="auto"/>
          <w:sz w:val="28"/>
          <w:szCs w:val="28"/>
        </w:rPr>
        <w:t>I.</w:t>
      </w:r>
      <w:r w:rsidRPr="002E5DFD">
        <w:rPr>
          <w:rFonts w:ascii="Calibri" w:hAnsi="Calibri" w:cs="Calibri"/>
          <w:b/>
          <w:color w:val="auto"/>
          <w:sz w:val="28"/>
          <w:szCs w:val="28"/>
        </w:rPr>
        <w:tab/>
        <w:t>Introduction</w:t>
      </w:r>
    </w:p>
    <w:p w:rsidR="00704BAA" w:rsidRPr="002E5DFD" w:rsidRDefault="00704BAA" w:rsidP="00EF12E8">
      <w:pPr>
        <w:spacing w:after="0" w:line="240" w:lineRule="auto"/>
        <w:rPr>
          <w:rFonts w:cs="Calibri"/>
        </w:rPr>
      </w:pPr>
    </w:p>
    <w:p w:rsidR="00704BAA" w:rsidRPr="002E5DFD" w:rsidRDefault="00704BAA" w:rsidP="00EF12E8">
      <w:pPr>
        <w:pStyle w:val="Heading2"/>
        <w:numPr>
          <w:ilvl w:val="0"/>
          <w:numId w:val="0"/>
        </w:numPr>
        <w:spacing w:before="0" w:line="240" w:lineRule="auto"/>
        <w:rPr>
          <w:rFonts w:ascii="Calibri" w:hAnsi="Calibri" w:cs="Calibri"/>
          <w:color w:val="auto"/>
        </w:rPr>
      </w:pPr>
      <w:r w:rsidRPr="002E5DFD">
        <w:rPr>
          <w:rFonts w:ascii="Calibri" w:hAnsi="Calibri" w:cs="Calibri"/>
          <w:color w:val="auto"/>
        </w:rPr>
        <w:t>A.</w:t>
      </w:r>
      <w:r w:rsidRPr="002E5DFD">
        <w:rPr>
          <w:rFonts w:ascii="Calibri" w:hAnsi="Calibri" w:cs="Calibri"/>
          <w:color w:val="auto"/>
        </w:rPr>
        <w:tab/>
        <w:t>Scope and Members of the LBR Working Group</w:t>
      </w:r>
    </w:p>
    <w:p w:rsidR="00704BAA" w:rsidRPr="002E5DFD" w:rsidRDefault="00704BAA" w:rsidP="00EF12E8">
      <w:pPr>
        <w:spacing w:after="0" w:line="240" w:lineRule="auto"/>
        <w:rPr>
          <w:rFonts w:cs="Calibri"/>
        </w:rPr>
      </w:pPr>
    </w:p>
    <w:p w:rsidR="00704BAA" w:rsidRPr="002E5DFD" w:rsidRDefault="00704BAA" w:rsidP="00EF12E8">
      <w:pPr>
        <w:spacing w:after="0" w:line="240" w:lineRule="auto"/>
        <w:rPr>
          <w:rFonts w:cs="Calibri"/>
        </w:rPr>
      </w:pPr>
      <w:r w:rsidRPr="002E5DFD">
        <w:rPr>
          <w:rFonts w:cs="Calibri"/>
        </w:rPr>
        <w:t xml:space="preserve">The scope of the </w:t>
      </w:r>
      <w:r w:rsidR="00AB2929">
        <w:rPr>
          <w:rFonts w:cs="Calibri"/>
        </w:rPr>
        <w:t xml:space="preserve">Lost Base </w:t>
      </w:r>
      <w:r w:rsidR="001E330C">
        <w:rPr>
          <w:rFonts w:cs="Calibri"/>
        </w:rPr>
        <w:t>Revenue (</w:t>
      </w:r>
      <w:r w:rsidRPr="002E5DFD">
        <w:rPr>
          <w:rFonts w:cs="Calibri"/>
        </w:rPr>
        <w:t>LBR</w:t>
      </w:r>
      <w:r w:rsidR="00AB2929">
        <w:rPr>
          <w:rFonts w:cs="Calibri"/>
        </w:rPr>
        <w:t>)</w:t>
      </w:r>
      <w:r w:rsidRPr="002E5DFD">
        <w:rPr>
          <w:rFonts w:cs="Calibri"/>
        </w:rPr>
        <w:t xml:space="preserve"> Working Group’s activities is defined by Commission Order No. 26,095 in Docket DE 17‐136, which approved the Settlement Agreement. The Settlement Agreement adopts the method of calculating the average distribution rate for purposes of calculating LBR proposed by the Utilities (where the average distribution rate used in the calculation blends the kW and kWh rate components) for energy efficiency upgrades installed in 2017 and 2018. For upgrades installed in 2019 and thereafter, the</w:t>
      </w:r>
      <w:r w:rsidR="000A2932">
        <w:rPr>
          <w:rFonts w:cs="Calibri"/>
        </w:rPr>
        <w:t xml:space="preserve"> method proposed by Staff will be used, </w:t>
      </w:r>
      <w:r w:rsidRPr="002E5DFD">
        <w:rPr>
          <w:rFonts w:cs="Calibri"/>
        </w:rPr>
        <w:t xml:space="preserve"> whereby the average distribution rate is disaggregated into kW and kWh components. </w:t>
      </w:r>
      <w:r w:rsidR="00226FD3">
        <w:rPr>
          <w:rFonts w:cs="Calibri"/>
        </w:rPr>
        <w:t xml:space="preserve"> </w:t>
      </w:r>
      <w:r w:rsidRPr="002E5DFD">
        <w:rPr>
          <w:rFonts w:cs="Calibri"/>
        </w:rPr>
        <w:t xml:space="preserve">Per the Settlement Agreement, </w:t>
      </w:r>
      <w:bookmarkStart w:id="2" w:name="OLE_LINK12"/>
      <w:bookmarkStart w:id="3" w:name="OLE_LINK11"/>
      <w:r w:rsidRPr="002E5DFD">
        <w:rPr>
          <w:rFonts w:cs="Calibri"/>
        </w:rPr>
        <w:t xml:space="preserve">the LBR Working Group was established to determine the appropriate kW values to be used for the Commercial and Industrial sectors.  Specifically, the LBR Working Group was </w:t>
      </w:r>
      <w:r w:rsidR="00EF12E8" w:rsidRPr="002E5DFD">
        <w:rPr>
          <w:rFonts w:cs="Calibri"/>
        </w:rPr>
        <w:t>est</w:t>
      </w:r>
      <w:r w:rsidR="0001087B">
        <w:rPr>
          <w:rFonts w:cs="Calibri"/>
        </w:rPr>
        <w:t>ab</w:t>
      </w:r>
      <w:r w:rsidRPr="002E5DFD">
        <w:rPr>
          <w:rFonts w:cs="Calibri"/>
        </w:rPr>
        <w:t>lished to consider the general impact of customer peak and the general impact of demand charge ratchets on those kW values.</w:t>
      </w:r>
      <w:r w:rsidR="00226FD3">
        <w:rPr>
          <w:rFonts w:cs="Calibri"/>
        </w:rPr>
        <w:t xml:space="preserve">  This Report represents a largely consensus document.</w:t>
      </w:r>
    </w:p>
    <w:bookmarkEnd w:id="2"/>
    <w:bookmarkEnd w:id="3"/>
    <w:p w:rsidR="008426BA" w:rsidRDefault="008426BA" w:rsidP="007E310E">
      <w:pPr>
        <w:rPr>
          <w:bCs/>
        </w:rPr>
      </w:pPr>
    </w:p>
    <w:p w:rsidR="007E310E" w:rsidRDefault="007E310E" w:rsidP="007E310E">
      <w:pPr>
        <w:rPr>
          <w:bCs/>
        </w:rPr>
      </w:pPr>
      <w:r>
        <w:rPr>
          <w:bCs/>
        </w:rPr>
        <w:t xml:space="preserve">In the course of exploring the issues surrounding disaggregating LBR into kW and kWh components for commercial and industrial </w:t>
      </w:r>
      <w:r w:rsidR="001E330C">
        <w:rPr>
          <w:bCs/>
        </w:rPr>
        <w:t>customers,</w:t>
      </w:r>
      <w:r>
        <w:rPr>
          <w:bCs/>
        </w:rPr>
        <w:t xml:space="preserve"> the Working Group reviewed and produced many documents, some of which are posted to a page on the</w:t>
      </w:r>
      <w:r w:rsidR="001E330C">
        <w:rPr>
          <w:bCs/>
        </w:rPr>
        <w:t> </w:t>
      </w:r>
      <w:hyperlink r:id="rId9" w:history="1">
        <w:r w:rsidRPr="007E310E">
          <w:rPr>
            <w:rStyle w:val="Hyperlink"/>
            <w:bCs/>
          </w:rPr>
          <w:t>Commission website</w:t>
        </w:r>
      </w:hyperlink>
      <w:r>
        <w:rPr>
          <w:bCs/>
        </w:rPr>
        <w:t xml:space="preserve"> </w:t>
      </w:r>
      <w:r>
        <w:rPr>
          <w:bCs/>
          <w:u w:val="single"/>
        </w:rPr>
        <w:t>http://www.puc.state.nh.us/EESE%20Board/EERS_Working_Groups.html.</w:t>
      </w:r>
      <w:r>
        <w:rPr>
          <w:bCs/>
        </w:rPr>
        <w:t xml:space="preserve">  These documents are posted for informational purposes only and the LBR Working Group members do not necessarily adopt or endorse the information and findings contained in these documents.  </w:t>
      </w:r>
    </w:p>
    <w:p w:rsidR="007E310E" w:rsidRDefault="005E4F65" w:rsidP="007E310E">
      <w:r>
        <w:rPr>
          <w:bCs/>
        </w:rPr>
        <w:t>T</w:t>
      </w:r>
      <w:r w:rsidR="007E310E">
        <w:rPr>
          <w:bCs/>
        </w:rPr>
        <w:t xml:space="preserve">his Report is largely a consensus document produced by the </w:t>
      </w:r>
      <w:r w:rsidR="001E330C">
        <w:rPr>
          <w:bCs/>
        </w:rPr>
        <w:t>Working Group</w:t>
      </w:r>
      <w:r w:rsidR="007E310E">
        <w:rPr>
          <w:bCs/>
        </w:rPr>
        <w:t xml:space="preserve"> members.  However, while this Report was guided by and results from the Settlement Agreement (filed with the Commission on December 8, 2017 in DE 17-136), this Report is not intended as, and should not be construed as a Settlement Agreement.  As such, Working Group members reserve the opportunity to take consistent or contrary positons when LBR is at issue in future proceedings before the Commission.  The Report is a public document and may be used in future Commission proceedings.  The Working Group meetings and related discussions that lead to the Report were not conducted as privileged or confidential sessions. </w:t>
      </w:r>
    </w:p>
    <w:p w:rsidR="007E310E" w:rsidRDefault="007E310E" w:rsidP="007E310E">
      <w:pPr>
        <w:rPr>
          <w:bCs/>
          <w:color w:val="1F497D"/>
        </w:rPr>
      </w:pPr>
      <w:r>
        <w:rPr>
          <w:bCs/>
          <w:color w:val="1F497D"/>
        </w:rPr>
        <w:t>In addition, the</w:t>
      </w:r>
      <w:r w:rsidR="005E4F65">
        <w:rPr>
          <w:bCs/>
          <w:color w:val="1F497D"/>
        </w:rPr>
        <w:t xml:space="preserve"> Office of Consumer Advocate (</w:t>
      </w:r>
      <w:r>
        <w:rPr>
          <w:bCs/>
          <w:color w:val="1F497D"/>
        </w:rPr>
        <w:t>OCA</w:t>
      </w:r>
      <w:r w:rsidR="005E4F65">
        <w:rPr>
          <w:bCs/>
          <w:color w:val="1F497D"/>
        </w:rPr>
        <w:t>)</w:t>
      </w:r>
      <w:r>
        <w:rPr>
          <w:bCs/>
          <w:color w:val="1F497D"/>
        </w:rPr>
        <w:t xml:space="preserve"> recommends a significant reduction to the LBR results produced by the methods set out in this Report.  The OCA’s recommendation and the Utilities’ Response to that recommendation are attached to the Report as Appendices </w:t>
      </w:r>
      <w:r w:rsidRPr="007E310E">
        <w:rPr>
          <w:bCs/>
          <w:color w:val="1F497D"/>
        </w:rPr>
        <w:t>G</w:t>
      </w:r>
      <w:r>
        <w:rPr>
          <w:bCs/>
          <w:color w:val="1F497D"/>
        </w:rPr>
        <w:t xml:space="preserve"> and </w:t>
      </w:r>
      <w:r w:rsidRPr="007E310E">
        <w:rPr>
          <w:bCs/>
          <w:color w:val="1F497D"/>
        </w:rPr>
        <w:t>H</w:t>
      </w:r>
      <w:r>
        <w:rPr>
          <w:bCs/>
          <w:color w:val="1F497D"/>
        </w:rPr>
        <w:t xml:space="preserve">. </w:t>
      </w:r>
    </w:p>
    <w:p w:rsidR="007E310E" w:rsidRDefault="007E310E" w:rsidP="00704BAA">
      <w:pPr>
        <w:rPr>
          <w:rFonts w:cs="Calibri"/>
        </w:rPr>
      </w:pPr>
    </w:p>
    <w:p w:rsidR="008426BA" w:rsidRPr="002E5DFD" w:rsidRDefault="008426BA" w:rsidP="00704BAA">
      <w:pPr>
        <w:rPr>
          <w:rFonts w:cs="Calibri"/>
        </w:rPr>
      </w:pPr>
      <w:r>
        <w:rPr>
          <w:rFonts w:cs="Calibri"/>
        </w:rPr>
        <w:t>Th</w:t>
      </w:r>
      <w:r w:rsidR="005E4F65">
        <w:rPr>
          <w:rFonts w:cs="Calibri"/>
        </w:rPr>
        <w:t>is</w:t>
      </w:r>
      <w:r>
        <w:rPr>
          <w:rFonts w:cs="Calibri"/>
        </w:rPr>
        <w:t xml:space="preserve"> Working Group Report, along with the Utilities and OCA comments will be posted to the Commission website. </w:t>
      </w:r>
    </w:p>
    <w:p w:rsidR="00704BAA" w:rsidRPr="002E5DFD" w:rsidRDefault="00704BAA" w:rsidP="00704BAA">
      <w:pPr>
        <w:rPr>
          <w:rFonts w:cs="Calibri"/>
        </w:rPr>
      </w:pPr>
      <w:r w:rsidRPr="002E5DFD">
        <w:rPr>
          <w:rFonts w:cs="Calibri"/>
        </w:rPr>
        <w:t xml:space="preserve">The members of the LBR Working Group are: </w:t>
      </w:r>
    </w:p>
    <w:p w:rsidR="00704BAA" w:rsidRPr="002E5DFD" w:rsidRDefault="00704BAA" w:rsidP="002E5DFD">
      <w:pPr>
        <w:pStyle w:val="ListParagraph"/>
        <w:numPr>
          <w:ilvl w:val="0"/>
          <w:numId w:val="7"/>
        </w:numPr>
        <w:spacing w:line="256" w:lineRule="auto"/>
        <w:rPr>
          <w:rFonts w:cs="Calibri"/>
        </w:rPr>
      </w:pPr>
      <w:r w:rsidRPr="002E5DFD">
        <w:rPr>
          <w:rFonts w:cs="Calibri"/>
        </w:rPr>
        <w:t>Jim Cunningham, NH PUC</w:t>
      </w:r>
    </w:p>
    <w:p w:rsidR="00704BAA" w:rsidRPr="002E5DFD" w:rsidRDefault="00704BAA" w:rsidP="002E5DFD">
      <w:pPr>
        <w:pStyle w:val="ListParagraph"/>
        <w:numPr>
          <w:ilvl w:val="0"/>
          <w:numId w:val="7"/>
        </w:numPr>
        <w:spacing w:line="256" w:lineRule="auto"/>
        <w:rPr>
          <w:rFonts w:cs="Calibri"/>
        </w:rPr>
      </w:pPr>
      <w:r w:rsidRPr="002E5DFD">
        <w:rPr>
          <w:rFonts w:cs="Calibri"/>
        </w:rPr>
        <w:t>Paul Dexter, NH PUC</w:t>
      </w:r>
    </w:p>
    <w:p w:rsidR="00704BAA" w:rsidRPr="002E5DFD" w:rsidRDefault="00704BAA" w:rsidP="002E5DFD">
      <w:pPr>
        <w:pStyle w:val="ListParagraph"/>
        <w:numPr>
          <w:ilvl w:val="0"/>
          <w:numId w:val="7"/>
        </w:numPr>
        <w:spacing w:line="256" w:lineRule="auto"/>
        <w:rPr>
          <w:rFonts w:cs="Calibri"/>
        </w:rPr>
      </w:pPr>
      <w:r w:rsidRPr="002E5DFD">
        <w:rPr>
          <w:rFonts w:cs="Calibri"/>
        </w:rPr>
        <w:t>Jay Dudley, NH PUC</w:t>
      </w:r>
    </w:p>
    <w:p w:rsidR="00704BAA" w:rsidRPr="002E5DFD" w:rsidRDefault="00704BAA" w:rsidP="002E5DFD">
      <w:pPr>
        <w:pStyle w:val="ListParagraph"/>
        <w:numPr>
          <w:ilvl w:val="0"/>
          <w:numId w:val="7"/>
        </w:numPr>
        <w:spacing w:line="256" w:lineRule="auto"/>
        <w:rPr>
          <w:rFonts w:cs="Calibri"/>
        </w:rPr>
      </w:pPr>
      <w:r w:rsidRPr="002E5DFD">
        <w:rPr>
          <w:rFonts w:cs="Calibri"/>
        </w:rPr>
        <w:t>Elizabeth Nixon, NH PUC</w:t>
      </w:r>
    </w:p>
    <w:p w:rsidR="00704BAA" w:rsidRPr="002E5DFD" w:rsidRDefault="00704BAA" w:rsidP="002E5DFD">
      <w:pPr>
        <w:pStyle w:val="ListParagraph"/>
        <w:numPr>
          <w:ilvl w:val="0"/>
          <w:numId w:val="7"/>
        </w:numPr>
        <w:spacing w:line="256" w:lineRule="auto"/>
        <w:rPr>
          <w:rFonts w:cs="Calibri"/>
        </w:rPr>
      </w:pPr>
      <w:r w:rsidRPr="002E5DFD">
        <w:rPr>
          <w:rFonts w:cs="Calibri"/>
        </w:rPr>
        <w:t>Leszek Stachow, NH PUC</w:t>
      </w:r>
    </w:p>
    <w:p w:rsidR="00704BAA" w:rsidRPr="002E5DFD" w:rsidRDefault="00704BAA" w:rsidP="002E5DFD">
      <w:pPr>
        <w:pStyle w:val="ListParagraph"/>
        <w:numPr>
          <w:ilvl w:val="0"/>
          <w:numId w:val="7"/>
        </w:numPr>
        <w:spacing w:line="256" w:lineRule="auto"/>
        <w:rPr>
          <w:rFonts w:cs="Calibri"/>
        </w:rPr>
      </w:pPr>
      <w:r w:rsidRPr="002E5DFD">
        <w:rPr>
          <w:rFonts w:cs="Calibri"/>
        </w:rPr>
        <w:t>Brian Buckley, Office of Consumer Advocate</w:t>
      </w:r>
    </w:p>
    <w:p w:rsidR="00704BAA" w:rsidRPr="002E5DFD" w:rsidRDefault="00704BAA" w:rsidP="002E5DFD">
      <w:pPr>
        <w:pStyle w:val="ListParagraph"/>
        <w:numPr>
          <w:ilvl w:val="0"/>
          <w:numId w:val="7"/>
        </w:numPr>
        <w:spacing w:line="256" w:lineRule="auto"/>
        <w:rPr>
          <w:rFonts w:cs="Calibri"/>
        </w:rPr>
      </w:pPr>
      <w:r w:rsidRPr="002E5DFD">
        <w:rPr>
          <w:rFonts w:cs="Calibri"/>
        </w:rPr>
        <w:t>Donald Kreis, Office of Consumer Advocate</w:t>
      </w:r>
    </w:p>
    <w:p w:rsidR="00704BAA" w:rsidRPr="002E5DFD" w:rsidRDefault="00704BAA" w:rsidP="002E5DFD">
      <w:pPr>
        <w:pStyle w:val="ListParagraph"/>
        <w:numPr>
          <w:ilvl w:val="0"/>
          <w:numId w:val="7"/>
        </w:numPr>
        <w:spacing w:line="256" w:lineRule="auto"/>
        <w:rPr>
          <w:rFonts w:cs="Calibri"/>
        </w:rPr>
      </w:pPr>
      <w:r w:rsidRPr="002E5DFD">
        <w:rPr>
          <w:rFonts w:cs="Calibri"/>
        </w:rPr>
        <w:t>Rebecca Ohler, NH DES</w:t>
      </w:r>
    </w:p>
    <w:p w:rsidR="00704BAA" w:rsidRPr="002E5DFD" w:rsidRDefault="00704BAA" w:rsidP="002E5DFD">
      <w:pPr>
        <w:pStyle w:val="ListParagraph"/>
        <w:numPr>
          <w:ilvl w:val="0"/>
          <w:numId w:val="7"/>
        </w:numPr>
        <w:spacing w:line="256" w:lineRule="auto"/>
        <w:rPr>
          <w:rFonts w:cs="Calibri"/>
        </w:rPr>
      </w:pPr>
      <w:r w:rsidRPr="002E5DFD">
        <w:rPr>
          <w:rFonts w:cs="Calibri"/>
        </w:rPr>
        <w:t>Tomas Fuller, Eversource</w:t>
      </w:r>
    </w:p>
    <w:p w:rsidR="00704BAA" w:rsidRPr="002E5DFD" w:rsidRDefault="00704BAA" w:rsidP="002E5DFD">
      <w:pPr>
        <w:pStyle w:val="ListParagraph"/>
        <w:numPr>
          <w:ilvl w:val="0"/>
          <w:numId w:val="7"/>
        </w:numPr>
        <w:spacing w:line="256" w:lineRule="auto"/>
        <w:rPr>
          <w:rFonts w:cs="Calibri"/>
        </w:rPr>
      </w:pPr>
      <w:r w:rsidRPr="002E5DFD">
        <w:rPr>
          <w:rFonts w:cs="Calibri"/>
        </w:rPr>
        <w:t>Christopher Goulding, Eversource</w:t>
      </w:r>
    </w:p>
    <w:p w:rsidR="00704BAA" w:rsidRPr="002E5DFD" w:rsidRDefault="00704BAA" w:rsidP="002E5DFD">
      <w:pPr>
        <w:pStyle w:val="ListParagraph"/>
        <w:numPr>
          <w:ilvl w:val="0"/>
          <w:numId w:val="7"/>
        </w:numPr>
        <w:spacing w:line="256" w:lineRule="auto"/>
        <w:rPr>
          <w:rFonts w:cs="Calibri"/>
        </w:rPr>
      </w:pPr>
      <w:r w:rsidRPr="002E5DFD">
        <w:rPr>
          <w:rFonts w:cs="Calibri"/>
        </w:rPr>
        <w:t>Miles Ingram, Eversource</w:t>
      </w:r>
    </w:p>
    <w:p w:rsidR="00704BAA" w:rsidRPr="002E5DFD" w:rsidRDefault="00704BAA" w:rsidP="002E5DFD">
      <w:pPr>
        <w:pStyle w:val="ListParagraph"/>
        <w:numPr>
          <w:ilvl w:val="0"/>
          <w:numId w:val="7"/>
        </w:numPr>
        <w:spacing w:line="256" w:lineRule="auto"/>
        <w:rPr>
          <w:rFonts w:cs="Calibri"/>
        </w:rPr>
      </w:pPr>
      <w:r w:rsidRPr="002E5DFD">
        <w:rPr>
          <w:rFonts w:cs="Calibri"/>
        </w:rPr>
        <w:t>Marc Lemenager, Eversource</w:t>
      </w:r>
    </w:p>
    <w:p w:rsidR="00704BAA" w:rsidRPr="002E5DFD" w:rsidRDefault="00704BAA" w:rsidP="002E5DFD">
      <w:pPr>
        <w:pStyle w:val="ListParagraph"/>
        <w:numPr>
          <w:ilvl w:val="0"/>
          <w:numId w:val="7"/>
        </w:numPr>
        <w:spacing w:line="256" w:lineRule="auto"/>
        <w:rPr>
          <w:rFonts w:cs="Calibri"/>
        </w:rPr>
      </w:pPr>
      <w:r w:rsidRPr="002E5DFD">
        <w:rPr>
          <w:rFonts w:cs="Calibri"/>
        </w:rPr>
        <w:t>Karen Asbury, Unitil</w:t>
      </w:r>
    </w:p>
    <w:p w:rsidR="00704BAA" w:rsidRPr="002E5DFD" w:rsidRDefault="00704BAA" w:rsidP="002E5DFD">
      <w:pPr>
        <w:pStyle w:val="ListParagraph"/>
        <w:numPr>
          <w:ilvl w:val="0"/>
          <w:numId w:val="7"/>
        </w:numPr>
        <w:spacing w:line="256" w:lineRule="auto"/>
        <w:rPr>
          <w:rFonts w:cs="Calibri"/>
        </w:rPr>
      </w:pPr>
      <w:r w:rsidRPr="002E5DFD">
        <w:rPr>
          <w:rFonts w:cs="Calibri"/>
        </w:rPr>
        <w:t>Deborah Jarvis, Unitil</w:t>
      </w:r>
    </w:p>
    <w:p w:rsidR="00704BAA" w:rsidRPr="002E5DFD" w:rsidRDefault="00704BAA" w:rsidP="002E5DFD">
      <w:pPr>
        <w:pStyle w:val="ListParagraph"/>
        <w:numPr>
          <w:ilvl w:val="0"/>
          <w:numId w:val="7"/>
        </w:numPr>
        <w:spacing w:after="0" w:line="240" w:lineRule="auto"/>
        <w:rPr>
          <w:rFonts w:cs="Calibri"/>
        </w:rPr>
      </w:pPr>
      <w:r w:rsidRPr="002E5DFD">
        <w:rPr>
          <w:rFonts w:cs="Calibri"/>
        </w:rPr>
        <w:t>Eric Stanley, Liberty</w:t>
      </w:r>
    </w:p>
    <w:p w:rsidR="00704BAA" w:rsidRPr="002E5DFD" w:rsidRDefault="00704BAA" w:rsidP="002E5DFD">
      <w:pPr>
        <w:numPr>
          <w:ilvl w:val="0"/>
          <w:numId w:val="7"/>
        </w:numPr>
        <w:spacing w:after="0" w:line="240" w:lineRule="auto"/>
        <w:rPr>
          <w:rFonts w:cs="Calibri"/>
        </w:rPr>
      </w:pPr>
      <w:r w:rsidRPr="002E5DFD">
        <w:rPr>
          <w:rFonts w:cs="Calibri"/>
        </w:rPr>
        <w:t>Heather Tebbetts, Liberty</w:t>
      </w:r>
    </w:p>
    <w:p w:rsidR="00704BAA" w:rsidRPr="002E5DFD" w:rsidRDefault="00704BAA" w:rsidP="00704BAA">
      <w:pPr>
        <w:spacing w:after="0" w:line="240" w:lineRule="auto"/>
        <w:rPr>
          <w:rFonts w:cs="Calibri"/>
        </w:rPr>
      </w:pPr>
    </w:p>
    <w:p w:rsidR="00704BAA" w:rsidRPr="002E5DFD" w:rsidRDefault="00704BAA" w:rsidP="00704BAA">
      <w:pPr>
        <w:spacing w:after="0" w:line="240" w:lineRule="auto"/>
        <w:rPr>
          <w:rFonts w:cs="Calibri"/>
        </w:rPr>
      </w:pPr>
      <w:r w:rsidRPr="002E5DFD">
        <w:rPr>
          <w:rFonts w:cs="Calibri"/>
        </w:rPr>
        <w:t>Staff wishes to take this opportunity to thank the members of the LBR Working Group who devoted many hours to meetings, research, information responses and preparation of slide presentations.</w:t>
      </w:r>
    </w:p>
    <w:p w:rsidR="00704BAA" w:rsidRPr="002E5DFD" w:rsidRDefault="00704BAA" w:rsidP="00704BAA">
      <w:pPr>
        <w:spacing w:after="0" w:line="240" w:lineRule="auto"/>
        <w:rPr>
          <w:rFonts w:cs="Calibri"/>
        </w:rPr>
      </w:pPr>
    </w:p>
    <w:p w:rsidR="00704BAA" w:rsidRPr="002E5DFD" w:rsidRDefault="00704BAA" w:rsidP="00704BAA">
      <w:pPr>
        <w:spacing w:after="0" w:line="240" w:lineRule="auto"/>
        <w:rPr>
          <w:rFonts w:cs="Calibri"/>
          <w:color w:val="000000"/>
          <w:sz w:val="26"/>
          <w:szCs w:val="26"/>
        </w:rPr>
      </w:pPr>
      <w:r w:rsidRPr="002E5DFD">
        <w:rPr>
          <w:rFonts w:cs="Calibri"/>
        </w:rPr>
        <w:t xml:space="preserve">   </w:t>
      </w:r>
      <w:bookmarkStart w:id="4" w:name="OLE_LINK9"/>
      <w:bookmarkStart w:id="5" w:name="OLE_LINK10"/>
      <w:r w:rsidRPr="002E5DFD">
        <w:rPr>
          <w:rFonts w:cs="Calibri"/>
          <w:color w:val="000000"/>
          <w:sz w:val="26"/>
          <w:szCs w:val="26"/>
        </w:rPr>
        <w:t>B.</w:t>
      </w:r>
      <w:r w:rsidRPr="002E5DFD">
        <w:rPr>
          <w:rFonts w:cs="Calibri"/>
          <w:color w:val="000000"/>
          <w:sz w:val="26"/>
          <w:szCs w:val="26"/>
        </w:rPr>
        <w:tab/>
        <w:t>Executive Summary</w:t>
      </w:r>
    </w:p>
    <w:p w:rsidR="00704BAA" w:rsidRPr="002E5DFD" w:rsidRDefault="00704BAA" w:rsidP="00704BAA">
      <w:pPr>
        <w:pStyle w:val="Heading1"/>
        <w:numPr>
          <w:ilvl w:val="0"/>
          <w:numId w:val="0"/>
        </w:numPr>
        <w:spacing w:before="0" w:line="240" w:lineRule="auto"/>
        <w:rPr>
          <w:rFonts w:ascii="Calibri" w:hAnsi="Calibri" w:cs="Calibri"/>
          <w:color w:val="000000"/>
          <w:sz w:val="22"/>
          <w:szCs w:val="22"/>
        </w:rPr>
      </w:pPr>
    </w:p>
    <w:p w:rsidR="00704BAA" w:rsidRPr="002E5DFD" w:rsidRDefault="00704BAA" w:rsidP="00704BAA">
      <w:pPr>
        <w:spacing w:after="0" w:line="240" w:lineRule="auto"/>
        <w:rPr>
          <w:rFonts w:cs="Calibri"/>
        </w:rPr>
      </w:pPr>
      <w:r w:rsidRPr="002E5DFD">
        <w:rPr>
          <w:rFonts w:cs="Calibri"/>
        </w:rPr>
        <w:t xml:space="preserve">The LBR Working Group met in order to establish the appropriate kW values to be used for the Commercial and Industrial sectors </w:t>
      </w:r>
      <w:r w:rsidR="00AB2929">
        <w:rPr>
          <w:rFonts w:cs="Calibri"/>
        </w:rPr>
        <w:t xml:space="preserve">when </w:t>
      </w:r>
      <w:r w:rsidR="008426BA">
        <w:rPr>
          <w:rFonts w:cs="Calibri"/>
        </w:rPr>
        <w:t xml:space="preserve">calculating </w:t>
      </w:r>
      <w:r w:rsidR="00AB2929">
        <w:rPr>
          <w:rFonts w:cs="Calibri"/>
        </w:rPr>
        <w:t xml:space="preserve">planned and </w:t>
      </w:r>
      <w:r w:rsidR="008426BA">
        <w:rPr>
          <w:rFonts w:cs="Calibri"/>
        </w:rPr>
        <w:t xml:space="preserve">actual LBR and to consider </w:t>
      </w:r>
      <w:r w:rsidRPr="002E5DFD">
        <w:rPr>
          <w:rFonts w:cs="Calibri"/>
        </w:rPr>
        <w:t xml:space="preserve">general impact of customer peak </w:t>
      </w:r>
      <w:r w:rsidR="008426BA">
        <w:rPr>
          <w:rFonts w:cs="Calibri"/>
        </w:rPr>
        <w:t xml:space="preserve">load </w:t>
      </w:r>
      <w:r w:rsidRPr="002E5DFD">
        <w:rPr>
          <w:rFonts w:cs="Calibri"/>
        </w:rPr>
        <w:t xml:space="preserve">and the general impact of demand charge ratchets on those kW values.  The discussions of the LBR Working Group occurred over the six-month period January – June 2018 and the salient documents from these discussions are posted to the </w:t>
      </w:r>
      <w:hyperlink r:id="rId10" w:history="1">
        <w:r w:rsidRPr="002E5DFD">
          <w:rPr>
            <w:rStyle w:val="Hyperlink"/>
            <w:rFonts w:cs="Calibri"/>
          </w:rPr>
          <w:t>Commission website</w:t>
        </w:r>
      </w:hyperlink>
      <w:r w:rsidRPr="002E5DFD">
        <w:rPr>
          <w:rFonts w:cs="Calibri"/>
          <w:color w:val="000000"/>
        </w:rPr>
        <w:t>.</w:t>
      </w:r>
    </w:p>
    <w:p w:rsidR="00704BAA" w:rsidRPr="002E5DFD" w:rsidRDefault="00704BAA" w:rsidP="00704BAA">
      <w:pPr>
        <w:spacing w:after="0" w:line="240" w:lineRule="auto"/>
        <w:rPr>
          <w:rFonts w:cs="Calibri"/>
        </w:rPr>
      </w:pPr>
    </w:p>
    <w:p w:rsidR="00704BAA" w:rsidRPr="002E5DFD" w:rsidRDefault="00704BAA" w:rsidP="00704BAA">
      <w:pPr>
        <w:pStyle w:val="Heading1"/>
        <w:numPr>
          <w:ilvl w:val="0"/>
          <w:numId w:val="0"/>
        </w:numPr>
        <w:spacing w:before="0" w:line="240" w:lineRule="auto"/>
        <w:rPr>
          <w:rFonts w:ascii="Calibri" w:hAnsi="Calibri" w:cs="Calibri"/>
          <w:color w:val="000000"/>
          <w:sz w:val="22"/>
          <w:szCs w:val="22"/>
        </w:rPr>
      </w:pPr>
      <w:r w:rsidRPr="002E5DFD">
        <w:rPr>
          <w:rFonts w:ascii="Calibri" w:hAnsi="Calibri" w:cs="Calibri"/>
          <w:color w:val="000000"/>
          <w:sz w:val="22"/>
          <w:szCs w:val="22"/>
        </w:rPr>
        <w:t>A major portion of the Working Group’s time was spent in developing a simplified one-page Template</w:t>
      </w:r>
      <w:r w:rsidR="000A2932">
        <w:rPr>
          <w:rFonts w:ascii="Calibri" w:hAnsi="Calibri" w:cs="Calibri"/>
          <w:color w:val="000000"/>
          <w:sz w:val="22"/>
          <w:szCs w:val="22"/>
          <w:lang w:val="en-US"/>
        </w:rPr>
        <w:t xml:space="preserve"> (ref. p. 6)</w:t>
      </w:r>
      <w:r w:rsidRPr="002E5DFD">
        <w:rPr>
          <w:rFonts w:ascii="Calibri" w:hAnsi="Calibri" w:cs="Calibri"/>
          <w:color w:val="000000"/>
          <w:sz w:val="22"/>
          <w:szCs w:val="22"/>
        </w:rPr>
        <w:t xml:space="preserve">.  </w:t>
      </w:r>
      <w:r w:rsidRPr="002E5DFD">
        <w:rPr>
          <w:rFonts w:ascii="Calibri" w:hAnsi="Calibri" w:cs="Calibri"/>
          <w:color w:val="auto"/>
          <w:sz w:val="22"/>
          <w:szCs w:val="22"/>
        </w:rPr>
        <w:t>The Te</w:t>
      </w:r>
      <w:r w:rsidRPr="002E5DFD">
        <w:rPr>
          <w:rFonts w:ascii="Calibri" w:hAnsi="Calibri" w:cs="Calibri"/>
          <w:color w:val="000000"/>
          <w:sz w:val="22"/>
          <w:szCs w:val="22"/>
        </w:rPr>
        <w:t>mplate works as follows:</w:t>
      </w:r>
    </w:p>
    <w:p w:rsidR="00704BAA" w:rsidRPr="002E5DFD" w:rsidRDefault="00704BAA" w:rsidP="00704BAA">
      <w:pPr>
        <w:pStyle w:val="Heading1"/>
        <w:numPr>
          <w:ilvl w:val="0"/>
          <w:numId w:val="0"/>
        </w:numPr>
        <w:spacing w:before="0" w:line="240" w:lineRule="auto"/>
        <w:rPr>
          <w:rFonts w:ascii="Calibri" w:hAnsi="Calibri" w:cs="Calibri"/>
          <w:color w:val="000000"/>
          <w:sz w:val="22"/>
          <w:szCs w:val="22"/>
        </w:rPr>
      </w:pPr>
    </w:p>
    <w:p w:rsidR="00704BAA" w:rsidRPr="002E5DFD" w:rsidRDefault="00704BAA" w:rsidP="002E5DFD">
      <w:pPr>
        <w:pStyle w:val="Heading1"/>
        <w:numPr>
          <w:ilvl w:val="0"/>
          <w:numId w:val="8"/>
        </w:numPr>
        <w:spacing w:before="0" w:line="240" w:lineRule="auto"/>
        <w:rPr>
          <w:rFonts w:ascii="Calibri" w:hAnsi="Calibri" w:cs="Calibri"/>
          <w:color w:val="000000"/>
          <w:sz w:val="22"/>
          <w:szCs w:val="22"/>
        </w:rPr>
      </w:pPr>
      <w:r w:rsidRPr="002E5DFD">
        <w:rPr>
          <w:rFonts w:ascii="Calibri" w:hAnsi="Calibri" w:cs="Calibri"/>
          <w:color w:val="000000"/>
          <w:sz w:val="22"/>
          <w:szCs w:val="22"/>
        </w:rPr>
        <w:t>It begins with kWh savings authorized by the Commission (Template, Line 1-3)</w:t>
      </w:r>
    </w:p>
    <w:p w:rsidR="00704BAA" w:rsidRPr="002E5DFD" w:rsidRDefault="00704BAA" w:rsidP="002E5DFD">
      <w:pPr>
        <w:pStyle w:val="Heading1"/>
        <w:numPr>
          <w:ilvl w:val="0"/>
          <w:numId w:val="8"/>
        </w:numPr>
        <w:spacing w:before="0" w:line="240" w:lineRule="auto"/>
        <w:rPr>
          <w:rFonts w:ascii="Calibri" w:hAnsi="Calibri" w:cs="Calibri"/>
          <w:color w:val="000000"/>
          <w:sz w:val="22"/>
          <w:szCs w:val="22"/>
        </w:rPr>
      </w:pPr>
      <w:r w:rsidRPr="002E5DFD">
        <w:rPr>
          <w:rFonts w:ascii="Calibri" w:hAnsi="Calibri" w:cs="Calibri"/>
          <w:color w:val="000000"/>
          <w:sz w:val="22"/>
          <w:szCs w:val="22"/>
        </w:rPr>
        <w:t>Then, the template converts kWh savings to maximum kW load reduction based on a metric referred to as the maximum demand factor (MDF) (Template, Line 4)</w:t>
      </w:r>
    </w:p>
    <w:p w:rsidR="00704BAA" w:rsidRPr="002E5DFD" w:rsidRDefault="00704BAA" w:rsidP="002E5DFD">
      <w:pPr>
        <w:pStyle w:val="Heading1"/>
        <w:numPr>
          <w:ilvl w:val="0"/>
          <w:numId w:val="8"/>
        </w:numPr>
        <w:spacing w:before="0" w:line="240" w:lineRule="auto"/>
        <w:rPr>
          <w:rFonts w:ascii="Calibri" w:hAnsi="Calibri" w:cs="Calibri"/>
          <w:color w:val="000000"/>
          <w:sz w:val="22"/>
          <w:szCs w:val="22"/>
        </w:rPr>
      </w:pPr>
      <w:r w:rsidRPr="002E5DFD">
        <w:rPr>
          <w:rFonts w:ascii="Calibri" w:hAnsi="Calibri" w:cs="Calibri"/>
          <w:color w:val="000000"/>
          <w:sz w:val="22"/>
          <w:szCs w:val="22"/>
        </w:rPr>
        <w:t>The maximum load reduction is then reduced to load reduction at peak based on a metric referred to as coincident factor (CF).  This is explained in the Report at Section IV, Figure 1. (Template, Line 5-6)</w:t>
      </w:r>
    </w:p>
    <w:p w:rsidR="00704BAA" w:rsidRPr="002E5DFD" w:rsidRDefault="00704BAA" w:rsidP="002E5DFD">
      <w:pPr>
        <w:pStyle w:val="Heading1"/>
        <w:numPr>
          <w:ilvl w:val="0"/>
          <w:numId w:val="8"/>
        </w:numPr>
        <w:spacing w:before="0" w:line="240" w:lineRule="auto"/>
        <w:rPr>
          <w:rFonts w:ascii="Calibri" w:hAnsi="Calibri" w:cs="Calibri"/>
          <w:color w:val="000000"/>
          <w:sz w:val="22"/>
          <w:szCs w:val="22"/>
        </w:rPr>
      </w:pPr>
      <w:r w:rsidRPr="002E5DFD">
        <w:rPr>
          <w:rFonts w:ascii="Calibri" w:hAnsi="Calibri" w:cs="Calibri"/>
          <w:color w:val="000000"/>
          <w:sz w:val="22"/>
          <w:szCs w:val="22"/>
        </w:rPr>
        <w:t>Then, kW load reduction at customer peak is adjusted for the following:  (1) % Net to Gross, (2) % In-Service, (3) % kW Realization Rate, (4) % Billing Adjustment to Reflect Ratchets, (5) % Retirement Adjustment and (6) % Annual Savings Achieved in First Year</w:t>
      </w:r>
      <w:r w:rsidR="00647FBA">
        <w:rPr>
          <w:rFonts w:ascii="Calibri" w:hAnsi="Calibri" w:cs="Calibri"/>
          <w:color w:val="000000"/>
          <w:sz w:val="22"/>
          <w:szCs w:val="22"/>
          <w:lang w:val="en-US"/>
        </w:rPr>
        <w:t xml:space="preserve"> (Template Line 8-19)</w:t>
      </w:r>
    </w:p>
    <w:p w:rsidR="00704BAA" w:rsidRPr="002E5DFD" w:rsidRDefault="00704BAA" w:rsidP="002E5DFD">
      <w:pPr>
        <w:numPr>
          <w:ilvl w:val="0"/>
          <w:numId w:val="9"/>
        </w:numPr>
        <w:spacing w:after="0" w:line="240" w:lineRule="auto"/>
        <w:rPr>
          <w:rFonts w:cs="Calibri"/>
        </w:rPr>
      </w:pPr>
      <w:r w:rsidRPr="002E5DFD">
        <w:t xml:space="preserve">Then, the remaining kW hours are multiplied by the </w:t>
      </w:r>
      <w:r w:rsidR="00200926">
        <w:t xml:space="preserve">lost base revenue </w:t>
      </w:r>
      <w:r w:rsidRPr="002E5DFD">
        <w:t>average distribution rate (</w:t>
      </w:r>
      <w:r w:rsidR="00200926">
        <w:t xml:space="preserve">LBR </w:t>
      </w:r>
      <w:r w:rsidRPr="002E5DFD">
        <w:t>ADR) to calculate LBR dollars</w:t>
      </w:r>
      <w:r w:rsidR="00647FBA">
        <w:t xml:space="preserve"> (Template, line 20-21)</w:t>
      </w:r>
      <w:r w:rsidRPr="002E5DFD">
        <w:rPr>
          <w:rFonts w:cs="Calibri"/>
        </w:rPr>
        <w:t xml:space="preserve"> </w:t>
      </w:r>
    </w:p>
    <w:p w:rsidR="00704BAA" w:rsidRPr="002E5DFD" w:rsidRDefault="00704BAA" w:rsidP="00704BAA">
      <w:pPr>
        <w:pStyle w:val="Heading1"/>
        <w:numPr>
          <w:ilvl w:val="0"/>
          <w:numId w:val="0"/>
        </w:numPr>
        <w:spacing w:before="0" w:line="240" w:lineRule="auto"/>
        <w:rPr>
          <w:rFonts w:ascii="Calibri" w:hAnsi="Calibri" w:cs="Calibri"/>
          <w:color w:val="auto"/>
          <w:sz w:val="22"/>
          <w:szCs w:val="22"/>
        </w:rPr>
      </w:pPr>
    </w:p>
    <w:p w:rsidR="00704BAA" w:rsidRPr="002E5DFD" w:rsidRDefault="00704BAA" w:rsidP="00704BAA">
      <w:pPr>
        <w:pStyle w:val="Heading1"/>
        <w:numPr>
          <w:ilvl w:val="0"/>
          <w:numId w:val="0"/>
        </w:numPr>
        <w:spacing w:before="0" w:line="240" w:lineRule="auto"/>
        <w:rPr>
          <w:rFonts w:ascii="Calibri" w:hAnsi="Calibri" w:cs="Calibri"/>
          <w:color w:val="auto"/>
          <w:sz w:val="22"/>
          <w:szCs w:val="22"/>
        </w:rPr>
      </w:pPr>
      <w:r w:rsidRPr="002E5DFD">
        <w:rPr>
          <w:rFonts w:ascii="Calibri" w:hAnsi="Calibri" w:cs="Calibri"/>
          <w:color w:val="auto"/>
          <w:sz w:val="22"/>
          <w:szCs w:val="22"/>
        </w:rPr>
        <w:t>Staff supports the Template developed by the Working Group for the following reasons:</w:t>
      </w:r>
    </w:p>
    <w:p w:rsidR="00704BAA" w:rsidRPr="002E5DFD" w:rsidRDefault="00704BAA" w:rsidP="00704BAA">
      <w:pPr>
        <w:pStyle w:val="Heading1"/>
        <w:numPr>
          <w:ilvl w:val="0"/>
          <w:numId w:val="0"/>
        </w:numPr>
        <w:spacing w:before="0" w:line="240" w:lineRule="auto"/>
        <w:rPr>
          <w:rFonts w:ascii="Calibri" w:hAnsi="Calibri" w:cs="Calibri"/>
          <w:color w:val="auto"/>
          <w:sz w:val="22"/>
          <w:szCs w:val="22"/>
        </w:rPr>
      </w:pPr>
      <w:r w:rsidRPr="002E5DFD">
        <w:rPr>
          <w:rFonts w:ascii="Calibri" w:hAnsi="Calibri" w:cs="Calibri"/>
          <w:color w:val="auto"/>
          <w:sz w:val="22"/>
          <w:szCs w:val="22"/>
        </w:rPr>
        <w:t xml:space="preserve">  </w:t>
      </w:r>
    </w:p>
    <w:p w:rsidR="00704BAA" w:rsidRPr="002E5DFD" w:rsidRDefault="00704BAA" w:rsidP="002E5DFD">
      <w:pPr>
        <w:pStyle w:val="Heading1"/>
        <w:numPr>
          <w:ilvl w:val="0"/>
          <w:numId w:val="9"/>
        </w:numPr>
        <w:spacing w:before="0" w:line="240" w:lineRule="auto"/>
        <w:rPr>
          <w:rFonts w:ascii="Calibri" w:hAnsi="Calibri" w:cs="Calibri"/>
          <w:color w:val="auto"/>
          <w:sz w:val="22"/>
          <w:szCs w:val="22"/>
        </w:rPr>
      </w:pPr>
      <w:r w:rsidRPr="002E5DFD">
        <w:rPr>
          <w:rFonts w:ascii="Calibri" w:hAnsi="Calibri" w:cs="Calibri"/>
          <w:color w:val="auto"/>
          <w:sz w:val="22"/>
          <w:szCs w:val="22"/>
        </w:rPr>
        <w:t xml:space="preserve">Template uses metrics that are </w:t>
      </w:r>
      <w:r w:rsidRPr="002E5DFD">
        <w:rPr>
          <w:rFonts w:ascii="Calibri" w:hAnsi="Calibri" w:cs="Calibri"/>
          <w:color w:val="auto"/>
          <w:sz w:val="22"/>
          <w:szCs w:val="22"/>
          <w:u w:val="single"/>
        </w:rPr>
        <w:t>transparent</w:t>
      </w:r>
      <w:r w:rsidRPr="002E5DFD">
        <w:rPr>
          <w:rFonts w:ascii="Calibri" w:hAnsi="Calibri" w:cs="Calibri"/>
          <w:color w:val="auto"/>
          <w:sz w:val="22"/>
          <w:szCs w:val="22"/>
        </w:rPr>
        <w:t xml:space="preserve"> – e.g., uses kWh in the plan as a starting point; and measure lives that are in the Plan for determining retirement adjustments</w:t>
      </w:r>
    </w:p>
    <w:p w:rsidR="00704BAA" w:rsidRPr="002E5DFD" w:rsidRDefault="00704BAA" w:rsidP="002E5DFD">
      <w:pPr>
        <w:pStyle w:val="Heading1"/>
        <w:numPr>
          <w:ilvl w:val="0"/>
          <w:numId w:val="9"/>
        </w:numPr>
        <w:spacing w:before="0" w:line="240" w:lineRule="auto"/>
        <w:rPr>
          <w:rFonts w:ascii="Calibri" w:hAnsi="Calibri" w:cs="Calibri"/>
          <w:color w:val="auto"/>
          <w:sz w:val="22"/>
          <w:szCs w:val="22"/>
        </w:rPr>
      </w:pPr>
      <w:r w:rsidRPr="002E5DFD">
        <w:rPr>
          <w:rFonts w:ascii="Calibri" w:hAnsi="Calibri" w:cs="Calibri"/>
          <w:color w:val="auto"/>
          <w:sz w:val="22"/>
          <w:szCs w:val="22"/>
        </w:rPr>
        <w:t xml:space="preserve">Template is </w:t>
      </w:r>
      <w:r w:rsidRPr="002E5DFD">
        <w:rPr>
          <w:rFonts w:ascii="Calibri" w:hAnsi="Calibri" w:cs="Calibri"/>
          <w:color w:val="auto"/>
          <w:sz w:val="22"/>
          <w:szCs w:val="22"/>
          <w:u w:val="single"/>
        </w:rPr>
        <w:t>administratively expedient</w:t>
      </w:r>
      <w:r w:rsidRPr="002E5DFD">
        <w:rPr>
          <w:rFonts w:ascii="Calibri" w:hAnsi="Calibri" w:cs="Calibri"/>
          <w:color w:val="auto"/>
          <w:sz w:val="22"/>
          <w:szCs w:val="22"/>
        </w:rPr>
        <w:t xml:space="preserve"> – e.g., highlights key information in a one-page template and avoids deriving data from computer models and spreadsheets.  </w:t>
      </w:r>
    </w:p>
    <w:p w:rsidR="00704BAA" w:rsidRPr="002E5DFD" w:rsidRDefault="00704BAA" w:rsidP="002E5DFD">
      <w:pPr>
        <w:pStyle w:val="Heading1"/>
        <w:numPr>
          <w:ilvl w:val="0"/>
          <w:numId w:val="9"/>
        </w:numPr>
        <w:spacing w:before="0" w:line="240" w:lineRule="auto"/>
        <w:rPr>
          <w:rFonts w:ascii="Calibri" w:hAnsi="Calibri" w:cs="Calibri"/>
          <w:color w:val="auto"/>
          <w:sz w:val="22"/>
          <w:szCs w:val="22"/>
        </w:rPr>
      </w:pPr>
      <w:r w:rsidRPr="002E5DFD">
        <w:rPr>
          <w:rFonts w:ascii="Calibri" w:hAnsi="Calibri" w:cs="Calibri"/>
          <w:color w:val="auto"/>
          <w:sz w:val="22"/>
          <w:szCs w:val="22"/>
        </w:rPr>
        <w:t>Template</w:t>
      </w:r>
      <w:r w:rsidR="00FC5631" w:rsidRPr="002E5DFD">
        <w:rPr>
          <w:rFonts w:ascii="Calibri" w:hAnsi="Calibri" w:cs="Calibri"/>
          <w:color w:val="auto"/>
          <w:sz w:val="22"/>
          <w:szCs w:val="22"/>
        </w:rPr>
        <w:t xml:space="preserve"> </w:t>
      </w:r>
      <w:r w:rsidR="0085432D" w:rsidRPr="002E5DFD">
        <w:rPr>
          <w:rFonts w:ascii="Calibri" w:hAnsi="Calibri" w:cs="Calibri"/>
          <w:color w:val="auto"/>
          <w:sz w:val="22"/>
          <w:szCs w:val="22"/>
        </w:rPr>
        <w:t xml:space="preserve">makes limited </w:t>
      </w:r>
      <w:r w:rsidRPr="002E5DFD">
        <w:rPr>
          <w:rFonts w:ascii="Calibri" w:hAnsi="Calibri" w:cs="Calibri"/>
          <w:color w:val="auto"/>
          <w:sz w:val="22"/>
          <w:szCs w:val="22"/>
        </w:rPr>
        <w:t xml:space="preserve">use </w:t>
      </w:r>
      <w:r w:rsidR="0085432D" w:rsidRPr="002E5DFD">
        <w:rPr>
          <w:rFonts w:ascii="Calibri" w:hAnsi="Calibri" w:cs="Calibri"/>
          <w:color w:val="auto"/>
          <w:sz w:val="22"/>
          <w:szCs w:val="22"/>
        </w:rPr>
        <w:t xml:space="preserve">of certain, </w:t>
      </w:r>
      <w:r w:rsidRPr="002E5DFD">
        <w:rPr>
          <w:rFonts w:ascii="Calibri" w:hAnsi="Calibri" w:cs="Calibri"/>
          <w:color w:val="auto"/>
          <w:sz w:val="22"/>
          <w:szCs w:val="22"/>
          <w:u w:val="single"/>
        </w:rPr>
        <w:t>simplifying assumptions</w:t>
      </w:r>
      <w:r w:rsidR="0085432D" w:rsidRPr="002E5DFD">
        <w:rPr>
          <w:rFonts w:ascii="Calibri" w:hAnsi="Calibri" w:cs="Calibri"/>
          <w:color w:val="auto"/>
          <w:sz w:val="22"/>
          <w:szCs w:val="22"/>
          <w:u w:val="single"/>
        </w:rPr>
        <w:t xml:space="preserve"> where appropriate</w:t>
      </w:r>
      <w:r w:rsidRPr="002E5DFD">
        <w:rPr>
          <w:rFonts w:ascii="Calibri" w:hAnsi="Calibri" w:cs="Calibri"/>
          <w:color w:val="auto"/>
          <w:sz w:val="22"/>
          <w:szCs w:val="22"/>
        </w:rPr>
        <w:t xml:space="preserve"> – e.g., uses “half year convention” uniformly across all three utilities (</w:t>
      </w:r>
      <w:r w:rsidR="004051AF">
        <w:rPr>
          <w:rFonts w:ascii="Calibri" w:hAnsi="Calibri" w:cs="Calibri"/>
          <w:color w:val="auto"/>
          <w:sz w:val="22"/>
          <w:szCs w:val="22"/>
          <w:lang w:val="en-US"/>
        </w:rPr>
        <w:t>for planning purposes, 50 percent of the annualized target kWh energy and kW demand savings for program year 2019 are assumed to be achieved in the first year (2019) and 100 percent are assumed to be achieved in subsequent years).</w:t>
      </w:r>
      <w:r w:rsidRPr="002E5DFD">
        <w:rPr>
          <w:rFonts w:ascii="Calibri" w:hAnsi="Calibri" w:cs="Calibri"/>
          <w:color w:val="auto"/>
          <w:sz w:val="22"/>
          <w:szCs w:val="22"/>
        </w:rPr>
        <w:t xml:space="preserve"> </w:t>
      </w:r>
    </w:p>
    <w:p w:rsidR="00704BAA" w:rsidRPr="002E5DFD" w:rsidRDefault="00704BAA" w:rsidP="002E5DFD">
      <w:pPr>
        <w:pStyle w:val="Heading1"/>
        <w:numPr>
          <w:ilvl w:val="0"/>
          <w:numId w:val="9"/>
        </w:numPr>
        <w:spacing w:before="0" w:line="240" w:lineRule="auto"/>
        <w:rPr>
          <w:rFonts w:ascii="Calibri" w:hAnsi="Calibri" w:cs="Calibri"/>
          <w:sz w:val="22"/>
          <w:szCs w:val="22"/>
        </w:rPr>
      </w:pPr>
      <w:r w:rsidRPr="002E5DFD">
        <w:rPr>
          <w:rFonts w:ascii="Calibri" w:hAnsi="Calibri" w:cs="Calibri"/>
          <w:color w:val="auto"/>
          <w:sz w:val="22"/>
          <w:szCs w:val="22"/>
        </w:rPr>
        <w:t xml:space="preserve">Template utilizes </w:t>
      </w:r>
      <w:r w:rsidRPr="002E5DFD">
        <w:rPr>
          <w:rFonts w:ascii="Calibri" w:hAnsi="Calibri" w:cs="Calibri"/>
          <w:color w:val="auto"/>
          <w:sz w:val="22"/>
          <w:szCs w:val="22"/>
          <w:u w:val="single"/>
        </w:rPr>
        <w:t>readily available information</w:t>
      </w:r>
      <w:r w:rsidRPr="002E5DFD">
        <w:rPr>
          <w:rFonts w:ascii="Calibri" w:hAnsi="Calibri" w:cs="Calibri"/>
          <w:color w:val="auto"/>
          <w:sz w:val="22"/>
          <w:szCs w:val="22"/>
        </w:rPr>
        <w:t xml:space="preserve"> – e.g., template uses information contained in EM&amp;V for savings assumptions; and, it uses Commission </w:t>
      </w:r>
      <w:r w:rsidR="0085432D" w:rsidRPr="002E5DFD">
        <w:rPr>
          <w:rFonts w:ascii="Calibri" w:hAnsi="Calibri" w:cs="Calibri"/>
          <w:color w:val="auto"/>
          <w:sz w:val="22"/>
          <w:szCs w:val="22"/>
        </w:rPr>
        <w:t>approved t</w:t>
      </w:r>
      <w:r w:rsidRPr="002E5DFD">
        <w:rPr>
          <w:rFonts w:ascii="Calibri" w:hAnsi="Calibri" w:cs="Calibri"/>
          <w:color w:val="auto"/>
          <w:sz w:val="22"/>
          <w:szCs w:val="22"/>
        </w:rPr>
        <w:t>ariffs for calculating average distribution rates.</w:t>
      </w:r>
      <w:bookmarkEnd w:id="4"/>
      <w:bookmarkEnd w:id="5"/>
    </w:p>
    <w:p w:rsidR="00704BAA" w:rsidRPr="002E5DFD" w:rsidRDefault="00704BAA" w:rsidP="00704BAA">
      <w:pPr>
        <w:pStyle w:val="Heading1"/>
        <w:numPr>
          <w:ilvl w:val="0"/>
          <w:numId w:val="0"/>
        </w:numPr>
        <w:spacing w:before="0" w:line="240" w:lineRule="auto"/>
        <w:rPr>
          <w:rFonts w:ascii="Calibri" w:hAnsi="Calibri" w:cs="Calibri"/>
          <w:color w:val="000000"/>
          <w:sz w:val="22"/>
          <w:szCs w:val="22"/>
        </w:rPr>
      </w:pPr>
    </w:p>
    <w:p w:rsidR="00704BAA" w:rsidRPr="002E5DFD" w:rsidRDefault="00704BAA" w:rsidP="00704BAA">
      <w:pPr>
        <w:pStyle w:val="Heading1"/>
        <w:numPr>
          <w:ilvl w:val="0"/>
          <w:numId w:val="0"/>
        </w:numPr>
        <w:spacing w:before="0" w:line="240" w:lineRule="auto"/>
        <w:rPr>
          <w:rFonts w:ascii="Calibri" w:hAnsi="Calibri" w:cs="Calibri"/>
          <w:color w:val="000000"/>
          <w:sz w:val="22"/>
          <w:szCs w:val="22"/>
        </w:rPr>
      </w:pPr>
      <w:r w:rsidRPr="002E5DFD">
        <w:rPr>
          <w:rFonts w:ascii="Calibri" w:hAnsi="Calibri" w:cs="Calibri"/>
          <w:color w:val="000000"/>
          <w:sz w:val="22"/>
          <w:szCs w:val="22"/>
        </w:rPr>
        <w:t>Staff notes that there are two items</w:t>
      </w:r>
      <w:r w:rsidR="0085432D" w:rsidRPr="002E5DFD">
        <w:rPr>
          <w:rFonts w:ascii="Calibri" w:hAnsi="Calibri" w:cs="Calibri"/>
          <w:color w:val="000000"/>
          <w:sz w:val="22"/>
          <w:szCs w:val="22"/>
        </w:rPr>
        <w:t>, in its view</w:t>
      </w:r>
      <w:r w:rsidR="00AB2929">
        <w:rPr>
          <w:rFonts w:ascii="Calibri" w:hAnsi="Calibri" w:cs="Calibri"/>
          <w:color w:val="000000"/>
          <w:sz w:val="22"/>
          <w:szCs w:val="22"/>
          <w:lang w:val="en-US"/>
        </w:rPr>
        <w:t>,</w:t>
      </w:r>
      <w:r w:rsidRPr="002E5DFD">
        <w:rPr>
          <w:rFonts w:ascii="Calibri" w:hAnsi="Calibri" w:cs="Calibri"/>
          <w:color w:val="000000"/>
          <w:sz w:val="22"/>
          <w:szCs w:val="22"/>
        </w:rPr>
        <w:t xml:space="preserve"> that </w:t>
      </w:r>
      <w:r w:rsidR="0085432D" w:rsidRPr="002E5DFD">
        <w:rPr>
          <w:rFonts w:ascii="Calibri" w:hAnsi="Calibri" w:cs="Calibri"/>
          <w:color w:val="000000"/>
          <w:sz w:val="22"/>
          <w:szCs w:val="22"/>
        </w:rPr>
        <w:t xml:space="preserve">require additional </w:t>
      </w:r>
      <w:r w:rsidRPr="002E5DFD">
        <w:rPr>
          <w:rFonts w:ascii="Calibri" w:hAnsi="Calibri" w:cs="Calibri"/>
          <w:color w:val="000000"/>
          <w:sz w:val="22"/>
          <w:szCs w:val="22"/>
        </w:rPr>
        <w:t xml:space="preserve">review.  One pertains to the ratchet adjustment and the other pertains to the OCA comments </w:t>
      </w:r>
      <w:r w:rsidR="00AB2929">
        <w:rPr>
          <w:rFonts w:ascii="Calibri" w:hAnsi="Calibri" w:cs="Calibri"/>
          <w:color w:val="000000"/>
          <w:sz w:val="22"/>
          <w:szCs w:val="22"/>
          <w:lang w:val="en-US"/>
        </w:rPr>
        <w:t xml:space="preserve">submitted by its </w:t>
      </w:r>
      <w:r w:rsidRPr="002E5DFD">
        <w:rPr>
          <w:rFonts w:ascii="Calibri" w:hAnsi="Calibri" w:cs="Calibri"/>
          <w:color w:val="000000"/>
          <w:sz w:val="22"/>
          <w:szCs w:val="22"/>
        </w:rPr>
        <w:t xml:space="preserve">consultant, Resource Insight.  With respect to the ratchet adjustments, the Working Group did not </w:t>
      </w:r>
      <w:r w:rsidR="0085432D" w:rsidRPr="002E5DFD">
        <w:rPr>
          <w:rFonts w:ascii="Calibri" w:hAnsi="Calibri" w:cs="Calibri"/>
          <w:color w:val="000000"/>
          <w:sz w:val="22"/>
          <w:szCs w:val="22"/>
        </w:rPr>
        <w:t>produce a result that Staff can support at this stage of</w:t>
      </w:r>
      <w:r w:rsidRPr="002E5DFD">
        <w:rPr>
          <w:rFonts w:ascii="Calibri" w:hAnsi="Calibri" w:cs="Calibri"/>
          <w:color w:val="000000"/>
          <w:sz w:val="22"/>
          <w:szCs w:val="22"/>
        </w:rPr>
        <w:t xml:space="preserve"> review.  </w:t>
      </w:r>
      <w:r w:rsidR="0085432D" w:rsidRPr="002E5DFD">
        <w:rPr>
          <w:rFonts w:ascii="Calibri" w:hAnsi="Calibri" w:cs="Calibri"/>
          <w:color w:val="000000"/>
          <w:sz w:val="22"/>
          <w:szCs w:val="22"/>
        </w:rPr>
        <w:t xml:space="preserve">Staff believes that, based on Eversource’s presentations concerning ratchet, </w:t>
      </w:r>
      <w:r w:rsidRPr="002E5DFD">
        <w:rPr>
          <w:rFonts w:ascii="Calibri" w:hAnsi="Calibri" w:cs="Calibri"/>
          <w:color w:val="000000"/>
          <w:sz w:val="22"/>
          <w:szCs w:val="22"/>
        </w:rPr>
        <w:t xml:space="preserve">there appears to be little to no ratchet impact.  However, </w:t>
      </w:r>
      <w:r w:rsidR="00FC5631" w:rsidRPr="002E5DFD">
        <w:rPr>
          <w:rFonts w:ascii="Calibri" w:hAnsi="Calibri" w:cs="Calibri"/>
          <w:color w:val="000000"/>
          <w:sz w:val="22"/>
          <w:szCs w:val="22"/>
        </w:rPr>
        <w:t xml:space="preserve">Staff did not come to a similar conclusion concerning </w:t>
      </w:r>
      <w:r w:rsidRPr="002E5DFD">
        <w:rPr>
          <w:rFonts w:ascii="Calibri" w:hAnsi="Calibri" w:cs="Calibri"/>
          <w:color w:val="000000"/>
          <w:sz w:val="22"/>
          <w:szCs w:val="22"/>
        </w:rPr>
        <w:t>Unitil’s and Liberty’s ratchet analysis</w:t>
      </w:r>
      <w:r w:rsidR="00FC5631" w:rsidRPr="002E5DFD">
        <w:rPr>
          <w:rFonts w:ascii="Calibri" w:hAnsi="Calibri" w:cs="Calibri"/>
          <w:color w:val="000000"/>
          <w:sz w:val="22"/>
          <w:szCs w:val="22"/>
        </w:rPr>
        <w:t>.  Thus, Staff plans to continue its review of ratchet impacts f</w:t>
      </w:r>
      <w:r w:rsidR="005D1ADA" w:rsidRPr="002E5DFD">
        <w:rPr>
          <w:rFonts w:ascii="Calibri" w:hAnsi="Calibri" w:cs="Calibri"/>
          <w:color w:val="000000"/>
          <w:sz w:val="22"/>
          <w:szCs w:val="22"/>
        </w:rPr>
        <w:t>o</w:t>
      </w:r>
      <w:r w:rsidR="00FC5631" w:rsidRPr="002E5DFD">
        <w:rPr>
          <w:rFonts w:ascii="Calibri" w:hAnsi="Calibri" w:cs="Calibri"/>
          <w:color w:val="000000"/>
          <w:sz w:val="22"/>
          <w:szCs w:val="22"/>
        </w:rPr>
        <w:t xml:space="preserve">r Unitil and Liberty as part of its review of </w:t>
      </w:r>
      <w:r w:rsidRPr="002E5DFD">
        <w:rPr>
          <w:rFonts w:ascii="Calibri" w:hAnsi="Calibri" w:cs="Calibri"/>
          <w:color w:val="000000"/>
          <w:sz w:val="22"/>
          <w:szCs w:val="22"/>
        </w:rPr>
        <w:t xml:space="preserve">the 2019 annual update filing. </w:t>
      </w:r>
    </w:p>
    <w:p w:rsidR="00704BAA" w:rsidRPr="002E5DFD" w:rsidRDefault="00704BAA" w:rsidP="00704BAA">
      <w:pPr>
        <w:spacing w:after="0" w:line="240" w:lineRule="auto"/>
        <w:rPr>
          <w:rFonts w:cs="Calibri"/>
        </w:rPr>
      </w:pPr>
    </w:p>
    <w:p w:rsidR="00704BAA" w:rsidRPr="002E5DFD" w:rsidRDefault="00704BAA" w:rsidP="00EF12E8">
      <w:pPr>
        <w:spacing w:after="0" w:line="240" w:lineRule="auto"/>
        <w:rPr>
          <w:rFonts w:cs="Calibri"/>
        </w:rPr>
      </w:pPr>
      <w:r w:rsidRPr="002E5DFD">
        <w:rPr>
          <w:rFonts w:cs="Calibri"/>
        </w:rPr>
        <w:t xml:space="preserve">With respect to </w:t>
      </w:r>
      <w:r w:rsidR="009B7E85">
        <w:rPr>
          <w:rFonts w:cs="Calibri"/>
        </w:rPr>
        <w:t xml:space="preserve">comments and recommendations on the Report by </w:t>
      </w:r>
      <w:r w:rsidRPr="002E5DFD">
        <w:rPr>
          <w:rFonts w:cs="Calibri"/>
        </w:rPr>
        <w:t>OCA</w:t>
      </w:r>
      <w:r w:rsidR="009B7E85">
        <w:rPr>
          <w:rFonts w:cs="Calibri"/>
        </w:rPr>
        <w:t xml:space="preserve"> and the </w:t>
      </w:r>
      <w:r w:rsidR="001E330C">
        <w:rPr>
          <w:rFonts w:cs="Calibri"/>
        </w:rPr>
        <w:t>Utilities’</w:t>
      </w:r>
      <w:r w:rsidR="001450C9">
        <w:rPr>
          <w:rFonts w:cs="Calibri"/>
        </w:rPr>
        <w:t xml:space="preserve"> response</w:t>
      </w:r>
      <w:r w:rsidR="009B7E85">
        <w:rPr>
          <w:rFonts w:cs="Calibri"/>
        </w:rPr>
        <w:t xml:space="preserve">, </w:t>
      </w:r>
      <w:r w:rsidR="00FC5631" w:rsidRPr="002E5DFD">
        <w:rPr>
          <w:rFonts w:cs="Calibri"/>
        </w:rPr>
        <w:t xml:space="preserve"> </w:t>
      </w:r>
      <w:r w:rsidR="009B7E85">
        <w:rPr>
          <w:rFonts w:cs="Calibri"/>
        </w:rPr>
        <w:t xml:space="preserve">Staff envisions further discussion </w:t>
      </w:r>
      <w:r w:rsidR="00FC5631" w:rsidRPr="002E5DFD">
        <w:rPr>
          <w:rFonts w:cs="Calibri"/>
        </w:rPr>
        <w:t xml:space="preserve"> as part of </w:t>
      </w:r>
      <w:r w:rsidR="009B7E85">
        <w:rPr>
          <w:rFonts w:cs="Calibri"/>
        </w:rPr>
        <w:t xml:space="preserve">discovery </w:t>
      </w:r>
      <w:r w:rsidR="00FC5631" w:rsidRPr="002E5DFD">
        <w:rPr>
          <w:rFonts w:cs="Calibri"/>
        </w:rPr>
        <w:t xml:space="preserve"> </w:t>
      </w:r>
      <w:r w:rsidR="00EF64E0">
        <w:rPr>
          <w:rFonts w:cs="Calibri"/>
        </w:rPr>
        <w:t xml:space="preserve">in </w:t>
      </w:r>
      <w:r w:rsidRPr="002E5DFD">
        <w:rPr>
          <w:rFonts w:cs="Calibri"/>
        </w:rPr>
        <w:t>the 2019 annual update filing</w:t>
      </w:r>
      <w:r w:rsidR="001450C9">
        <w:rPr>
          <w:rFonts w:cs="Calibri"/>
        </w:rPr>
        <w:t xml:space="preserve"> review</w:t>
      </w:r>
      <w:r w:rsidRPr="002E5DFD">
        <w:rPr>
          <w:rFonts w:cs="Calibri"/>
        </w:rPr>
        <w:t>.</w:t>
      </w:r>
      <w:r w:rsidR="009B7E85">
        <w:rPr>
          <w:rFonts w:cs="Calibri"/>
        </w:rPr>
        <w:t xml:space="preserve">  </w:t>
      </w:r>
    </w:p>
    <w:p w:rsidR="00EF12E8" w:rsidRPr="002E5DFD" w:rsidRDefault="00EF12E8" w:rsidP="00EF12E8">
      <w:pPr>
        <w:spacing w:after="0" w:line="240" w:lineRule="auto"/>
        <w:rPr>
          <w:rFonts w:cs="Calibri"/>
        </w:rPr>
      </w:pPr>
    </w:p>
    <w:p w:rsidR="00EF12E8" w:rsidRPr="00E80C3E" w:rsidRDefault="00EF12E8" w:rsidP="00EF12E8">
      <w:pPr>
        <w:pStyle w:val="Heading1"/>
        <w:numPr>
          <w:ilvl w:val="0"/>
          <w:numId w:val="0"/>
        </w:numPr>
        <w:spacing w:before="0" w:line="240" w:lineRule="auto"/>
        <w:rPr>
          <w:rFonts w:ascii="Calibri" w:hAnsi="Calibri" w:cs="Calibri"/>
          <w:color w:val="000000"/>
          <w:sz w:val="26"/>
          <w:szCs w:val="26"/>
          <w:lang w:val="en-US"/>
        </w:rPr>
      </w:pPr>
      <w:r w:rsidRPr="002E5DFD">
        <w:rPr>
          <w:rFonts w:ascii="Calibri" w:hAnsi="Calibri" w:cs="Calibri"/>
          <w:color w:val="000000"/>
          <w:sz w:val="26"/>
          <w:szCs w:val="26"/>
        </w:rPr>
        <w:t>C.</w:t>
      </w:r>
      <w:r w:rsidRPr="002E5DFD">
        <w:rPr>
          <w:rFonts w:ascii="Calibri" w:hAnsi="Calibri" w:cs="Calibri"/>
          <w:color w:val="000000"/>
          <w:sz w:val="26"/>
          <w:szCs w:val="26"/>
        </w:rPr>
        <w:tab/>
        <w:t>Summary of LBR Calculations</w:t>
      </w:r>
      <w:r w:rsidR="00E80C3E">
        <w:rPr>
          <w:rFonts w:ascii="Calibri" w:hAnsi="Calibri" w:cs="Calibri"/>
          <w:color w:val="000000"/>
          <w:sz w:val="26"/>
          <w:szCs w:val="26"/>
          <w:lang w:val="en-US"/>
        </w:rPr>
        <w:t xml:space="preserve"> </w:t>
      </w:r>
    </w:p>
    <w:p w:rsidR="00704BAA" w:rsidRPr="002E5DFD" w:rsidRDefault="00704BAA" w:rsidP="00EF12E8">
      <w:pPr>
        <w:spacing w:after="0" w:line="240" w:lineRule="auto"/>
        <w:ind w:left="1800"/>
        <w:rPr>
          <w:rFonts w:cs="Calibri"/>
          <w:color w:val="000000"/>
        </w:rPr>
      </w:pPr>
    </w:p>
    <w:p w:rsidR="00C63631" w:rsidRPr="002E5DFD" w:rsidRDefault="007C5B4A" w:rsidP="0046158A">
      <w:pPr>
        <w:spacing w:after="0" w:line="240" w:lineRule="auto"/>
        <w:rPr>
          <w:rFonts w:cs="Calibri"/>
        </w:rPr>
      </w:pPr>
      <w:r w:rsidRPr="002E5DFD">
        <w:rPr>
          <w:rFonts w:cs="Calibri"/>
        </w:rPr>
        <w:t xml:space="preserve">The LBR calculations for 2019 and 2020 by utility are disaggregated for kWh and kW, as agreed to in the Settlement Agreement.  </w:t>
      </w:r>
      <w:r w:rsidR="00102AD3" w:rsidRPr="002E5DFD">
        <w:rPr>
          <w:rFonts w:cs="Calibri"/>
        </w:rPr>
        <w:t xml:space="preserve">A template summarizing the calculation of LBR </w:t>
      </w:r>
      <w:r w:rsidR="00647FBA">
        <w:rPr>
          <w:rFonts w:cs="Calibri"/>
        </w:rPr>
        <w:t xml:space="preserve">for planning purposes </w:t>
      </w:r>
      <w:r w:rsidR="00102AD3" w:rsidRPr="002E5DFD">
        <w:rPr>
          <w:rFonts w:cs="Calibri"/>
        </w:rPr>
        <w:t xml:space="preserve">along with a glossary of terms is provided in section II. </w:t>
      </w:r>
      <w:r w:rsidRPr="002E5DFD">
        <w:rPr>
          <w:rFonts w:cs="Calibri"/>
        </w:rPr>
        <w:t>The derivation of key components of these calculation</w:t>
      </w:r>
      <w:r w:rsidR="002620AB">
        <w:rPr>
          <w:rFonts w:cs="Calibri"/>
        </w:rPr>
        <w:t>s</w:t>
      </w:r>
      <w:r w:rsidRPr="002E5DFD">
        <w:rPr>
          <w:rFonts w:cs="Calibri"/>
        </w:rPr>
        <w:t xml:space="preserve"> —kWh, kW, and Average Distribution Rates (ADR)—are described in sections III, IV and V. The impact of ratchets is discussed in section VI. The calculations result in the planned kW and kWh savings amounts for 2019 and 2020 </w:t>
      </w:r>
      <w:r w:rsidR="00647FBA">
        <w:rPr>
          <w:rFonts w:cs="Calibri"/>
        </w:rPr>
        <w:t xml:space="preserve">(ref. </w:t>
      </w:r>
      <w:r w:rsidR="00AA5BC1">
        <w:rPr>
          <w:rFonts w:cs="Calibri"/>
        </w:rPr>
        <w:t>A</w:t>
      </w:r>
      <w:r w:rsidR="00647FBA">
        <w:rPr>
          <w:rFonts w:cs="Calibri"/>
        </w:rPr>
        <w:t>ppendix B,</w:t>
      </w:r>
      <w:r w:rsidRPr="002E5DFD">
        <w:rPr>
          <w:rFonts w:cs="Calibri"/>
        </w:rPr>
        <w:t xml:space="preserve"> Tables 1</w:t>
      </w:r>
      <w:r w:rsidR="000C338D">
        <w:rPr>
          <w:rFonts w:cs="Calibri"/>
        </w:rPr>
        <w:t>-3</w:t>
      </w:r>
      <w:r w:rsidR="00647FBA">
        <w:rPr>
          <w:rFonts w:cs="Calibri"/>
        </w:rPr>
        <w:t>)</w:t>
      </w:r>
      <w:r w:rsidRPr="002E5DFD">
        <w:rPr>
          <w:rFonts w:cs="Calibri"/>
        </w:rPr>
        <w:t xml:space="preserve">, using the customer peak kW approach detailed in section IV, and based on planned measure installations from the 2018 – 2020 New Hampshire Statewide Energy Efficiency Plan. </w:t>
      </w:r>
      <w:r w:rsidR="00647FBA">
        <w:rPr>
          <w:rFonts w:cs="Calibri"/>
        </w:rPr>
        <w:t>Section VII describes actual reporting.</w:t>
      </w:r>
    </w:p>
    <w:p w:rsidR="00EF12E8" w:rsidRPr="002E5DFD" w:rsidRDefault="00EF12E8" w:rsidP="0046158A">
      <w:pPr>
        <w:spacing w:after="0" w:line="240" w:lineRule="auto"/>
        <w:rPr>
          <w:rFonts w:cs="Calibri"/>
        </w:rPr>
      </w:pPr>
    </w:p>
    <w:p w:rsidR="009823C1" w:rsidRPr="002E5DFD" w:rsidRDefault="00C63631" w:rsidP="0046158A">
      <w:pPr>
        <w:spacing w:after="0" w:line="240" w:lineRule="auto"/>
        <w:rPr>
          <w:rFonts w:cs="Calibri"/>
        </w:rPr>
      </w:pPr>
      <w:r w:rsidRPr="002E5DFD">
        <w:rPr>
          <w:rFonts w:cs="Calibri"/>
        </w:rPr>
        <w:t xml:space="preserve">The Template in section II outlines the methodology used to calculate LBR, based on Eversource’s </w:t>
      </w:r>
      <w:r w:rsidR="00722F68" w:rsidRPr="002E5DFD">
        <w:rPr>
          <w:rFonts w:cs="Calibri"/>
        </w:rPr>
        <w:t>C&amp;</w:t>
      </w:r>
      <w:r w:rsidR="00647FBA">
        <w:rPr>
          <w:rFonts w:cs="Calibri"/>
        </w:rPr>
        <w:t>I</w:t>
      </w:r>
      <w:r w:rsidR="00722F68" w:rsidRPr="002E5DFD">
        <w:rPr>
          <w:rFonts w:cs="Calibri"/>
        </w:rPr>
        <w:t xml:space="preserve"> Large Business Energy solutions Program, Retrofit Track, LED </w:t>
      </w:r>
      <w:r w:rsidRPr="002E5DFD">
        <w:rPr>
          <w:rFonts w:cs="Calibri"/>
        </w:rPr>
        <w:t>Lighting</w:t>
      </w:r>
      <w:r w:rsidR="00722F68" w:rsidRPr="002E5DFD">
        <w:rPr>
          <w:rFonts w:cs="Calibri"/>
        </w:rPr>
        <w:t>.</w:t>
      </w:r>
      <w:r w:rsidRPr="002E5DFD">
        <w:rPr>
          <w:rFonts w:cs="Calibri"/>
        </w:rPr>
        <w:t xml:space="preserve">  </w:t>
      </w:r>
      <w:r w:rsidR="007C5B4A" w:rsidRPr="002E5DFD">
        <w:rPr>
          <w:rFonts w:cs="Calibri"/>
        </w:rPr>
        <w:t>In addition, the template</w:t>
      </w:r>
      <w:r w:rsidRPr="002E5DFD">
        <w:rPr>
          <w:rFonts w:cs="Calibri"/>
        </w:rPr>
        <w:t>s</w:t>
      </w:r>
      <w:r w:rsidR="007C5B4A" w:rsidRPr="002E5DFD">
        <w:rPr>
          <w:rFonts w:cs="Calibri"/>
        </w:rPr>
        <w:t xml:space="preserve"> in </w:t>
      </w:r>
      <w:r w:rsidR="00AA5BC1">
        <w:rPr>
          <w:rFonts w:cs="Calibri"/>
        </w:rPr>
        <w:t>A</w:t>
      </w:r>
      <w:r w:rsidR="007C5B4A" w:rsidRPr="002E5DFD">
        <w:rPr>
          <w:rFonts w:cs="Calibri"/>
        </w:rPr>
        <w:t xml:space="preserve">ppendix </w:t>
      </w:r>
      <w:r w:rsidRPr="002E5DFD">
        <w:rPr>
          <w:rFonts w:cs="Calibri"/>
        </w:rPr>
        <w:t>A</w:t>
      </w:r>
      <w:r w:rsidR="007C5B4A" w:rsidRPr="002E5DFD">
        <w:rPr>
          <w:rFonts w:cs="Calibri"/>
        </w:rPr>
        <w:t xml:space="preserve"> provide the 2019 and 2020 planned savings values and detailed calculations for kWh and customer peak kW savings for all programs. </w:t>
      </w:r>
    </w:p>
    <w:p w:rsidR="0046158A" w:rsidRDefault="0046158A" w:rsidP="00EF12E8">
      <w:pPr>
        <w:pStyle w:val="Heading1"/>
        <w:numPr>
          <w:ilvl w:val="0"/>
          <w:numId w:val="0"/>
        </w:numPr>
        <w:spacing w:before="0" w:line="240" w:lineRule="auto"/>
        <w:rPr>
          <w:rFonts w:ascii="Calibri" w:hAnsi="Calibri" w:cs="Calibri"/>
          <w:color w:val="auto"/>
          <w:sz w:val="22"/>
          <w:szCs w:val="22"/>
        </w:rPr>
      </w:pPr>
    </w:p>
    <w:p w:rsidR="00EF12E8" w:rsidRPr="00D65105" w:rsidRDefault="009823C1" w:rsidP="0046158A">
      <w:pPr>
        <w:pStyle w:val="Heading1"/>
        <w:numPr>
          <w:ilvl w:val="0"/>
          <w:numId w:val="0"/>
        </w:numPr>
        <w:spacing w:before="0" w:line="240" w:lineRule="auto"/>
        <w:rPr>
          <w:rFonts w:ascii="Calibri" w:hAnsi="Calibri" w:cs="Calibri"/>
          <w:color w:val="auto"/>
          <w:sz w:val="22"/>
          <w:szCs w:val="22"/>
          <w:lang w:val="en-US"/>
        </w:rPr>
      </w:pPr>
      <w:r w:rsidRPr="002E5DFD">
        <w:rPr>
          <w:rFonts w:ascii="Calibri" w:hAnsi="Calibri" w:cs="Calibri"/>
          <w:color w:val="auto"/>
          <w:sz w:val="22"/>
          <w:szCs w:val="22"/>
        </w:rPr>
        <w:t xml:space="preserve">Appendix B provides the planned MWh and kW savings used for the calculation of lost based revenue.  </w:t>
      </w:r>
      <w:r w:rsidR="00647FBA">
        <w:rPr>
          <w:rFonts w:ascii="Calibri" w:hAnsi="Calibri" w:cs="Calibri"/>
          <w:color w:val="auto"/>
          <w:sz w:val="22"/>
          <w:szCs w:val="22"/>
          <w:lang w:val="en-US"/>
        </w:rPr>
        <w:t>Appendix B, T</w:t>
      </w:r>
      <w:r w:rsidR="007C5B4A" w:rsidRPr="002E5DFD">
        <w:rPr>
          <w:rFonts w:ascii="Calibri" w:hAnsi="Calibri" w:cs="Calibri"/>
          <w:color w:val="auto"/>
          <w:sz w:val="22"/>
          <w:szCs w:val="22"/>
        </w:rPr>
        <w:t>able 1 through 3</w:t>
      </w:r>
      <w:r w:rsidR="00647FBA">
        <w:rPr>
          <w:rFonts w:ascii="Calibri" w:hAnsi="Calibri" w:cs="Calibri"/>
          <w:color w:val="auto"/>
          <w:sz w:val="22"/>
          <w:szCs w:val="22"/>
          <w:lang w:val="en-US"/>
        </w:rPr>
        <w:t>,</w:t>
      </w:r>
      <w:r w:rsidR="007C5B4A" w:rsidRPr="002E5DFD">
        <w:rPr>
          <w:rFonts w:ascii="Calibri" w:hAnsi="Calibri" w:cs="Calibri"/>
          <w:color w:val="auto"/>
          <w:sz w:val="22"/>
          <w:szCs w:val="22"/>
        </w:rPr>
        <w:t xml:space="preserve"> reflect savings based on planned measure installations.</w:t>
      </w:r>
      <w:r w:rsidR="007C5B4A" w:rsidRPr="002E5DFD">
        <w:rPr>
          <w:rStyle w:val="FootnoteReference"/>
          <w:rFonts w:ascii="Calibri" w:hAnsi="Calibri" w:cs="Calibri"/>
          <w:color w:val="auto"/>
          <w:sz w:val="22"/>
          <w:szCs w:val="22"/>
        </w:rPr>
        <w:footnoteReference w:id="1"/>
      </w:r>
      <w:r w:rsidR="007C5B4A" w:rsidRPr="002E5DFD">
        <w:rPr>
          <w:rFonts w:ascii="Calibri" w:hAnsi="Calibri" w:cs="Calibri"/>
          <w:color w:val="auto"/>
          <w:sz w:val="22"/>
          <w:szCs w:val="22"/>
        </w:rPr>
        <w:t xml:space="preserve"> As in 2017-18, LBR collections for 2019-20 will be based on actual monthly measure installations, as detailed in this document. </w:t>
      </w:r>
      <w:r w:rsidR="00EF12E8" w:rsidRPr="002E5DFD">
        <w:rPr>
          <w:rFonts w:ascii="Calibri" w:hAnsi="Calibri" w:cs="Calibri"/>
          <w:color w:val="auto"/>
          <w:sz w:val="22"/>
          <w:szCs w:val="22"/>
        </w:rPr>
        <w:t>Appendix C provides an example of a Lighting Project Worksheet with kW savings.  Appendix D provides details in support of the calculation of average distribution rates</w:t>
      </w:r>
      <w:r w:rsidR="00844591">
        <w:rPr>
          <w:rFonts w:ascii="Calibri" w:hAnsi="Calibri" w:cs="Calibri"/>
          <w:color w:val="auto"/>
          <w:sz w:val="22"/>
          <w:szCs w:val="22"/>
          <w:lang w:val="en-US"/>
        </w:rPr>
        <w:t xml:space="preserve"> for LBR</w:t>
      </w:r>
      <w:r w:rsidR="00EF12E8" w:rsidRPr="002E5DFD">
        <w:rPr>
          <w:rFonts w:ascii="Calibri" w:hAnsi="Calibri" w:cs="Calibri"/>
          <w:color w:val="auto"/>
          <w:sz w:val="22"/>
          <w:szCs w:val="22"/>
        </w:rPr>
        <w:t>.  Appendix E provides details related to ratchet analyses.</w:t>
      </w:r>
      <w:r w:rsidR="002620AB">
        <w:rPr>
          <w:rFonts w:ascii="Calibri" w:hAnsi="Calibri" w:cs="Calibri"/>
          <w:color w:val="auto"/>
          <w:sz w:val="22"/>
          <w:szCs w:val="22"/>
          <w:lang w:val="en-US"/>
        </w:rPr>
        <w:t xml:space="preserve">  Appendix F provides Eversour</w:t>
      </w:r>
      <w:r w:rsidR="00200926">
        <w:rPr>
          <w:rFonts w:ascii="Calibri" w:hAnsi="Calibri" w:cs="Calibri"/>
          <w:color w:val="auto"/>
          <w:sz w:val="22"/>
          <w:szCs w:val="22"/>
          <w:lang w:val="en-US"/>
        </w:rPr>
        <w:t>c</w:t>
      </w:r>
      <w:r w:rsidR="002620AB">
        <w:rPr>
          <w:rFonts w:ascii="Calibri" w:hAnsi="Calibri" w:cs="Calibri"/>
          <w:color w:val="auto"/>
          <w:sz w:val="22"/>
          <w:szCs w:val="22"/>
          <w:lang w:val="en-US"/>
        </w:rPr>
        <w:t>e Analysis, Rate GV Peak Hour and DNV-GL operating percentages.</w:t>
      </w:r>
      <w:r w:rsidR="0001087B">
        <w:rPr>
          <w:rFonts w:ascii="Calibri" w:hAnsi="Calibri" w:cs="Calibri"/>
          <w:color w:val="auto"/>
          <w:sz w:val="22"/>
          <w:szCs w:val="22"/>
          <w:lang w:val="en-US"/>
        </w:rPr>
        <w:t xml:space="preserve"> </w:t>
      </w:r>
      <w:r w:rsidR="00EF12E8" w:rsidRPr="002E5DFD">
        <w:rPr>
          <w:rFonts w:ascii="Calibri" w:hAnsi="Calibri" w:cs="Calibri"/>
          <w:color w:val="auto"/>
          <w:sz w:val="22"/>
          <w:szCs w:val="22"/>
        </w:rPr>
        <w:t xml:space="preserve"> </w:t>
      </w:r>
      <w:r w:rsidR="00EF64E0">
        <w:rPr>
          <w:rFonts w:ascii="Calibri" w:hAnsi="Calibri" w:cs="Calibri"/>
          <w:color w:val="auto"/>
          <w:sz w:val="22"/>
          <w:szCs w:val="22"/>
          <w:lang w:val="en-US"/>
        </w:rPr>
        <w:t xml:space="preserve"> Appendix G provides </w:t>
      </w:r>
      <w:r w:rsidR="00D00EA3">
        <w:rPr>
          <w:rFonts w:ascii="Calibri" w:hAnsi="Calibri" w:cs="Calibri"/>
          <w:color w:val="auto"/>
          <w:sz w:val="22"/>
          <w:szCs w:val="22"/>
          <w:lang w:val="en-US"/>
        </w:rPr>
        <w:t xml:space="preserve">comments from </w:t>
      </w:r>
      <w:r w:rsidR="00EF64E0">
        <w:rPr>
          <w:rFonts w:ascii="Calibri" w:hAnsi="Calibri" w:cs="Calibri"/>
          <w:color w:val="auto"/>
          <w:sz w:val="22"/>
          <w:szCs w:val="22"/>
          <w:lang w:val="en-US"/>
        </w:rPr>
        <w:t>OCA (including Resou</w:t>
      </w:r>
      <w:r w:rsidR="00D00EA3">
        <w:rPr>
          <w:rFonts w:ascii="Calibri" w:hAnsi="Calibri" w:cs="Calibri"/>
          <w:color w:val="auto"/>
          <w:sz w:val="22"/>
          <w:szCs w:val="22"/>
          <w:lang w:val="en-US"/>
        </w:rPr>
        <w:t>r</w:t>
      </w:r>
      <w:r w:rsidR="00EF64E0">
        <w:rPr>
          <w:rFonts w:ascii="Calibri" w:hAnsi="Calibri" w:cs="Calibri"/>
          <w:color w:val="auto"/>
          <w:sz w:val="22"/>
          <w:szCs w:val="22"/>
          <w:lang w:val="en-US"/>
        </w:rPr>
        <w:t>ce Insight</w:t>
      </w:r>
      <w:r w:rsidR="00D00EA3">
        <w:rPr>
          <w:rFonts w:ascii="Calibri" w:hAnsi="Calibri" w:cs="Calibri"/>
          <w:color w:val="auto"/>
          <w:sz w:val="22"/>
          <w:szCs w:val="22"/>
          <w:lang w:val="en-US"/>
        </w:rPr>
        <w:t>, Inc.); and Appendix H provides comments</w:t>
      </w:r>
      <w:r w:rsidR="00844591">
        <w:rPr>
          <w:rFonts w:ascii="Calibri" w:hAnsi="Calibri" w:cs="Calibri"/>
          <w:color w:val="auto"/>
          <w:sz w:val="22"/>
          <w:szCs w:val="22"/>
          <w:lang w:val="en-US"/>
        </w:rPr>
        <w:t xml:space="preserve"> in response</w:t>
      </w:r>
      <w:r w:rsidR="00D00EA3">
        <w:rPr>
          <w:rFonts w:ascii="Calibri" w:hAnsi="Calibri" w:cs="Calibri"/>
          <w:color w:val="auto"/>
          <w:sz w:val="22"/>
          <w:szCs w:val="22"/>
          <w:lang w:val="en-US"/>
        </w:rPr>
        <w:t xml:space="preserve"> from the Utilities.</w:t>
      </w:r>
    </w:p>
    <w:p w:rsidR="00EF12E8" w:rsidRPr="002E5DFD" w:rsidRDefault="00EF12E8" w:rsidP="0046158A">
      <w:pPr>
        <w:pStyle w:val="Heading1"/>
        <w:numPr>
          <w:ilvl w:val="0"/>
          <w:numId w:val="0"/>
        </w:numPr>
        <w:spacing w:before="0" w:line="240" w:lineRule="auto"/>
        <w:rPr>
          <w:rFonts w:ascii="Calibri" w:hAnsi="Calibri" w:cs="Calibri"/>
          <w:color w:val="000000"/>
          <w:sz w:val="28"/>
          <w:szCs w:val="28"/>
        </w:rPr>
      </w:pPr>
    </w:p>
    <w:p w:rsidR="00EF12E8" w:rsidRPr="002E5DFD" w:rsidRDefault="00EF12E8" w:rsidP="0046158A">
      <w:pPr>
        <w:pStyle w:val="Heading1"/>
        <w:numPr>
          <w:ilvl w:val="0"/>
          <w:numId w:val="0"/>
        </w:numPr>
        <w:spacing w:before="0" w:line="240" w:lineRule="auto"/>
        <w:rPr>
          <w:rFonts w:ascii="Calibri" w:hAnsi="Calibri" w:cs="Calibri"/>
          <w:color w:val="000000"/>
          <w:sz w:val="28"/>
          <w:szCs w:val="28"/>
        </w:rPr>
      </w:pPr>
      <w:r w:rsidRPr="002E5DFD">
        <w:rPr>
          <w:rFonts w:ascii="Calibri" w:hAnsi="Calibri" w:cs="Calibri"/>
          <w:color w:val="000000"/>
          <w:sz w:val="28"/>
          <w:szCs w:val="28"/>
        </w:rPr>
        <w:t>II.</w:t>
      </w:r>
      <w:r w:rsidRPr="002E5DFD">
        <w:rPr>
          <w:rFonts w:ascii="Calibri" w:hAnsi="Calibri" w:cs="Calibri"/>
          <w:color w:val="000000"/>
          <w:sz w:val="28"/>
          <w:szCs w:val="28"/>
        </w:rPr>
        <w:tab/>
        <w:t>LBR Template and Glossary of Terms</w:t>
      </w:r>
    </w:p>
    <w:p w:rsidR="00EF12E8" w:rsidRPr="002E5DFD" w:rsidRDefault="00EF12E8" w:rsidP="0046158A">
      <w:pPr>
        <w:pStyle w:val="Heading2"/>
        <w:numPr>
          <w:ilvl w:val="0"/>
          <w:numId w:val="0"/>
        </w:numPr>
        <w:spacing w:before="0" w:line="240" w:lineRule="auto"/>
        <w:rPr>
          <w:rFonts w:ascii="Calibri" w:hAnsi="Calibri" w:cs="Calibri"/>
          <w:color w:val="000000"/>
        </w:rPr>
      </w:pPr>
    </w:p>
    <w:p w:rsidR="00EF12E8" w:rsidRPr="002E5DFD" w:rsidRDefault="00EF12E8" w:rsidP="0046158A">
      <w:pPr>
        <w:pStyle w:val="Heading2"/>
        <w:numPr>
          <w:ilvl w:val="0"/>
          <w:numId w:val="0"/>
        </w:numPr>
        <w:spacing w:before="0" w:line="240" w:lineRule="auto"/>
        <w:rPr>
          <w:rFonts w:ascii="Calibri" w:hAnsi="Calibri" w:cs="Calibri"/>
          <w:color w:val="000000"/>
        </w:rPr>
      </w:pPr>
      <w:r w:rsidRPr="002E5DFD">
        <w:rPr>
          <w:rFonts w:ascii="Calibri" w:hAnsi="Calibri" w:cs="Calibri"/>
          <w:color w:val="000000"/>
        </w:rPr>
        <w:t>A.</w:t>
      </w:r>
      <w:r w:rsidRPr="002E5DFD">
        <w:rPr>
          <w:rFonts w:ascii="Calibri" w:hAnsi="Calibri" w:cs="Calibri"/>
          <w:color w:val="000000"/>
        </w:rPr>
        <w:tab/>
        <w:t>LBR Template</w:t>
      </w:r>
    </w:p>
    <w:p w:rsidR="00EF12E8" w:rsidRPr="002E5DFD" w:rsidRDefault="00EF12E8" w:rsidP="0046158A">
      <w:pPr>
        <w:pStyle w:val="Heading2"/>
        <w:numPr>
          <w:ilvl w:val="0"/>
          <w:numId w:val="0"/>
        </w:numPr>
        <w:spacing w:before="0" w:line="240" w:lineRule="auto"/>
        <w:ind w:left="720"/>
        <w:rPr>
          <w:rFonts w:ascii="Calibri" w:hAnsi="Calibri" w:cs="Calibri"/>
          <w:color w:val="000000"/>
          <w:sz w:val="22"/>
          <w:szCs w:val="22"/>
        </w:rPr>
      </w:pPr>
    </w:p>
    <w:p w:rsidR="00EF12E8" w:rsidRPr="002E5DFD" w:rsidRDefault="00EF12E8" w:rsidP="0046158A">
      <w:pPr>
        <w:pStyle w:val="Heading2"/>
        <w:numPr>
          <w:ilvl w:val="0"/>
          <w:numId w:val="0"/>
        </w:numPr>
        <w:spacing w:before="0" w:line="240" w:lineRule="auto"/>
        <w:rPr>
          <w:rFonts w:ascii="Calibri" w:hAnsi="Calibri" w:cs="Calibri"/>
          <w:b/>
          <w:color w:val="000000"/>
          <w:sz w:val="22"/>
          <w:szCs w:val="22"/>
        </w:rPr>
      </w:pPr>
      <w:r w:rsidRPr="002E5DFD">
        <w:rPr>
          <w:rFonts w:ascii="Calibri" w:hAnsi="Calibri" w:cs="Calibri"/>
          <w:color w:val="000000"/>
          <w:sz w:val="22"/>
          <w:szCs w:val="22"/>
        </w:rPr>
        <w:t xml:space="preserve">This section provides the methodology that was developed by the LBR Working Group </w:t>
      </w:r>
      <w:r w:rsidRPr="002E5DFD">
        <w:rPr>
          <w:rFonts w:ascii="Calibri" w:hAnsi="Calibri"/>
          <w:color w:val="auto"/>
          <w:sz w:val="22"/>
          <w:szCs w:val="22"/>
        </w:rPr>
        <w:t>that Staff recommends be used to determine kW demand savings for purposes of calculating lost revenue, effective for the 2019 program year.  It’s a summary of how Eversource will calculate kW savings for program year 2019, and is based on data contained in the 2018-2020 Plan – i.e., specifically, for the Large Business Energy Solutions Program, Retrofit Track LED Lighting measure.  All other Eversource measures will be calculated using the same methodology.  In addition, Unitil and Liberty will use the same methodology to determine kW savings for purposes of calculating LBR, effective for the 2019 program year.  Details of the methodology are provided for Eversource, Unitil and Liberty in Appendix A; and match the methodology summarized in Table 1.</w:t>
      </w:r>
    </w:p>
    <w:p w:rsidR="007C5B4A" w:rsidRPr="002E5DFD" w:rsidRDefault="007C5B4A" w:rsidP="001528FC">
      <w:pPr>
        <w:rPr>
          <w:rFonts w:cs="Calibri"/>
        </w:rPr>
      </w:pPr>
    </w:p>
    <w:p w:rsidR="00EF12E8" w:rsidRPr="00D65105" w:rsidRDefault="00EF12E8" w:rsidP="00EF12E8">
      <w:pPr>
        <w:pStyle w:val="Heading2"/>
        <w:numPr>
          <w:ilvl w:val="0"/>
          <w:numId w:val="0"/>
        </w:numPr>
        <w:spacing w:before="0" w:line="240" w:lineRule="auto"/>
        <w:rPr>
          <w:rFonts w:ascii="Calibri" w:hAnsi="Calibri" w:cs="Calibri"/>
          <w:b/>
          <w:color w:val="000000"/>
          <w:sz w:val="22"/>
          <w:szCs w:val="22"/>
          <w:lang w:val="en-US"/>
        </w:rPr>
      </w:pPr>
    </w:p>
    <w:p w:rsidR="00EF12E8" w:rsidRPr="002E5DFD" w:rsidRDefault="00EF12E8" w:rsidP="00EF12E8">
      <w:pPr>
        <w:pStyle w:val="Heading2"/>
        <w:numPr>
          <w:ilvl w:val="0"/>
          <w:numId w:val="0"/>
        </w:numPr>
        <w:spacing w:before="0" w:line="240" w:lineRule="auto"/>
        <w:rPr>
          <w:rFonts w:ascii="Calibri" w:hAnsi="Calibri" w:cs="Calibri"/>
          <w:b/>
          <w:color w:val="000000"/>
          <w:sz w:val="22"/>
          <w:szCs w:val="22"/>
        </w:rPr>
      </w:pPr>
    </w:p>
    <w:p w:rsidR="00651C24" w:rsidRPr="002E5DFD" w:rsidRDefault="00651C24" w:rsidP="00651C24"/>
    <w:p w:rsidR="00651C24" w:rsidRPr="002E5DFD" w:rsidRDefault="00651C24" w:rsidP="00651C24"/>
    <w:p w:rsidR="00EF12E8" w:rsidRDefault="00EF12E8" w:rsidP="00EF12E8">
      <w:pPr>
        <w:pStyle w:val="Heading2"/>
        <w:numPr>
          <w:ilvl w:val="0"/>
          <w:numId w:val="0"/>
        </w:numPr>
        <w:spacing w:before="0" w:line="240" w:lineRule="auto"/>
        <w:rPr>
          <w:rFonts w:ascii="Calibri" w:hAnsi="Calibri" w:cs="Calibri"/>
          <w:b/>
          <w:color w:val="000000"/>
          <w:sz w:val="22"/>
          <w:szCs w:val="22"/>
        </w:rPr>
      </w:pPr>
    </w:p>
    <w:p w:rsidR="00EA4EE8" w:rsidRPr="00EA4EE8" w:rsidRDefault="00EA4EE8" w:rsidP="00EA4EE8"/>
    <w:p w:rsidR="0046158A" w:rsidRDefault="0046158A" w:rsidP="00EF12E8">
      <w:pPr>
        <w:pStyle w:val="Heading2"/>
        <w:numPr>
          <w:ilvl w:val="0"/>
          <w:numId w:val="0"/>
        </w:numPr>
        <w:spacing w:before="0" w:line="240" w:lineRule="auto"/>
        <w:rPr>
          <w:rFonts w:ascii="Calibri" w:hAnsi="Calibri" w:cs="Calibri"/>
          <w:b/>
          <w:color w:val="000000"/>
          <w:sz w:val="22"/>
          <w:szCs w:val="22"/>
          <w:lang w:val="en-US"/>
        </w:rPr>
      </w:pPr>
    </w:p>
    <w:p w:rsidR="003E396D" w:rsidRDefault="003E396D" w:rsidP="00D65105">
      <w:pPr>
        <w:rPr>
          <w:lang w:eastAsia="x-none"/>
        </w:rPr>
      </w:pPr>
    </w:p>
    <w:p w:rsidR="003E396D" w:rsidRDefault="003E396D" w:rsidP="00D65105">
      <w:pPr>
        <w:rPr>
          <w:lang w:eastAsia="x-none"/>
        </w:rPr>
      </w:pPr>
    </w:p>
    <w:p w:rsidR="003E396D" w:rsidRDefault="003E396D" w:rsidP="00D65105">
      <w:pPr>
        <w:rPr>
          <w:lang w:eastAsia="x-none"/>
        </w:rPr>
      </w:pPr>
    </w:p>
    <w:p w:rsidR="003E396D" w:rsidRDefault="003E396D" w:rsidP="00D65105">
      <w:pPr>
        <w:rPr>
          <w:lang w:eastAsia="x-none"/>
        </w:rPr>
      </w:pPr>
    </w:p>
    <w:p w:rsidR="003E396D" w:rsidRDefault="003E396D" w:rsidP="00D65105">
      <w:pPr>
        <w:rPr>
          <w:lang w:eastAsia="x-none"/>
        </w:rPr>
      </w:pPr>
    </w:p>
    <w:p w:rsidR="003E396D" w:rsidRDefault="003E396D" w:rsidP="00D65105">
      <w:pPr>
        <w:rPr>
          <w:lang w:eastAsia="x-none"/>
        </w:rPr>
      </w:pPr>
    </w:p>
    <w:p w:rsidR="003E396D" w:rsidRDefault="003E396D" w:rsidP="00D65105">
      <w:pPr>
        <w:rPr>
          <w:lang w:eastAsia="x-none"/>
        </w:rPr>
      </w:pPr>
    </w:p>
    <w:p w:rsidR="003E396D" w:rsidRPr="00D65105" w:rsidRDefault="003E396D" w:rsidP="00D65105">
      <w:pPr>
        <w:rPr>
          <w:lang w:eastAsia="x-none"/>
        </w:rPr>
      </w:pPr>
    </w:p>
    <w:p w:rsidR="009C16FF" w:rsidRPr="002E5DFD" w:rsidRDefault="009C16FF" w:rsidP="00EF12E8">
      <w:pPr>
        <w:pStyle w:val="Heading2"/>
        <w:numPr>
          <w:ilvl w:val="0"/>
          <w:numId w:val="0"/>
        </w:numPr>
        <w:spacing w:before="0" w:line="240" w:lineRule="auto"/>
        <w:rPr>
          <w:rFonts w:ascii="Calibri" w:hAnsi="Calibri" w:cs="Calibri"/>
          <w:b/>
          <w:color w:val="000000"/>
          <w:sz w:val="22"/>
          <w:szCs w:val="22"/>
        </w:rPr>
      </w:pPr>
      <w:r w:rsidRPr="002E5DFD">
        <w:rPr>
          <w:rFonts w:ascii="Calibri" w:hAnsi="Calibri" w:cs="Calibri"/>
          <w:b/>
          <w:color w:val="000000"/>
          <w:sz w:val="22"/>
          <w:szCs w:val="22"/>
        </w:rPr>
        <w:t>Table 1: Summary of LBR Methodology developed by the Working Group to be Used Starting in Program Year 2019</w:t>
      </w:r>
    </w:p>
    <w:p w:rsidR="009C16FF" w:rsidRPr="002E5DFD" w:rsidRDefault="009C16FF" w:rsidP="00EF12E8">
      <w:pPr>
        <w:spacing w:after="0" w:line="240" w:lineRule="auto"/>
        <w:rPr>
          <w:rFonts w:cs="Calibri"/>
          <w:color w:val="000000"/>
        </w:rPr>
      </w:pPr>
    </w:p>
    <w:p w:rsidR="009C16FF" w:rsidRPr="002E5DFD" w:rsidRDefault="009C16FF" w:rsidP="00EF12E8">
      <w:pPr>
        <w:pStyle w:val="Heading1"/>
        <w:numPr>
          <w:ilvl w:val="0"/>
          <w:numId w:val="0"/>
        </w:numPr>
        <w:spacing w:before="0" w:line="240" w:lineRule="auto"/>
        <w:rPr>
          <w:rFonts w:ascii="Calibri" w:hAnsi="Calibri" w:cs="Calibri"/>
          <w:b/>
          <w:color w:val="000000"/>
          <w:sz w:val="20"/>
          <w:szCs w:val="20"/>
        </w:rPr>
      </w:pPr>
      <w:r w:rsidRPr="002E5DFD">
        <w:rPr>
          <w:rFonts w:ascii="Calibri" w:hAnsi="Calibri" w:cs="Calibri"/>
          <w:b/>
          <w:color w:val="000000"/>
          <w:sz w:val="22"/>
          <w:szCs w:val="22"/>
          <w:u w:val="single"/>
        </w:rPr>
        <w:t>Line</w:t>
      </w:r>
      <w:r w:rsidRPr="002E5DFD">
        <w:rPr>
          <w:rFonts w:ascii="Calibri" w:hAnsi="Calibri" w:cs="Calibri"/>
          <w:b/>
          <w:color w:val="000000"/>
          <w:sz w:val="22"/>
          <w:szCs w:val="22"/>
        </w:rPr>
        <w:tab/>
      </w:r>
      <w:r w:rsidRPr="002E5DFD">
        <w:rPr>
          <w:rFonts w:ascii="Calibri" w:hAnsi="Calibri" w:cs="Calibri"/>
          <w:b/>
          <w:color w:val="000000"/>
          <w:sz w:val="20"/>
          <w:szCs w:val="20"/>
          <w:u w:val="single"/>
        </w:rPr>
        <w:t>Description</w:t>
      </w:r>
      <w:r w:rsidRPr="002E5DFD">
        <w:rPr>
          <w:rFonts w:ascii="Calibri" w:hAnsi="Calibri" w:cs="Calibri"/>
          <w:b/>
          <w:color w:val="000000"/>
          <w:sz w:val="20"/>
          <w:szCs w:val="20"/>
        </w:rPr>
        <w:tab/>
      </w:r>
      <w:r w:rsidRPr="002E5DFD">
        <w:rPr>
          <w:rFonts w:ascii="Calibri" w:hAnsi="Calibri" w:cs="Calibri"/>
          <w:b/>
          <w:color w:val="000000"/>
          <w:sz w:val="20"/>
          <w:szCs w:val="20"/>
        </w:rPr>
        <w:tab/>
      </w:r>
      <w:r w:rsidRPr="002E5DFD">
        <w:rPr>
          <w:rFonts w:ascii="Calibri" w:hAnsi="Calibri" w:cs="Calibri"/>
          <w:b/>
          <w:color w:val="000000"/>
          <w:sz w:val="20"/>
          <w:szCs w:val="20"/>
        </w:rPr>
        <w:tab/>
      </w:r>
      <w:r w:rsidRPr="002E5DFD">
        <w:rPr>
          <w:rFonts w:ascii="Calibri" w:hAnsi="Calibri" w:cs="Calibri"/>
          <w:b/>
          <w:color w:val="000000"/>
          <w:sz w:val="20"/>
          <w:szCs w:val="20"/>
        </w:rPr>
        <w:tab/>
        <w:t xml:space="preserve">   </w:t>
      </w:r>
      <w:r w:rsidRPr="002E5DFD">
        <w:rPr>
          <w:rFonts w:ascii="Calibri" w:hAnsi="Calibri" w:cs="Calibri"/>
          <w:b/>
          <w:color w:val="000000"/>
          <w:sz w:val="20"/>
          <w:szCs w:val="20"/>
          <w:u w:val="single"/>
        </w:rPr>
        <w:t>Value</w:t>
      </w:r>
      <w:r w:rsidRPr="002E5DFD">
        <w:rPr>
          <w:rFonts w:ascii="Calibri" w:hAnsi="Calibri" w:cs="Calibri"/>
          <w:b/>
          <w:color w:val="000000"/>
          <w:sz w:val="20"/>
          <w:szCs w:val="20"/>
        </w:rPr>
        <w:t>*</w:t>
      </w:r>
      <w:r w:rsidRPr="002E5DFD">
        <w:rPr>
          <w:rFonts w:ascii="Calibri" w:hAnsi="Calibri" w:cs="Calibri"/>
          <w:b/>
          <w:color w:val="000000"/>
          <w:sz w:val="20"/>
          <w:szCs w:val="20"/>
        </w:rPr>
        <w:tab/>
      </w:r>
      <w:r w:rsidRPr="002E5DFD">
        <w:rPr>
          <w:rFonts w:ascii="Calibri" w:hAnsi="Calibri" w:cs="Calibri"/>
          <w:b/>
          <w:color w:val="000000"/>
          <w:sz w:val="20"/>
          <w:szCs w:val="20"/>
        </w:rPr>
        <w:tab/>
      </w:r>
      <w:r w:rsidRPr="002E5DFD">
        <w:rPr>
          <w:rFonts w:ascii="Calibri" w:hAnsi="Calibri" w:cs="Calibri"/>
          <w:b/>
          <w:color w:val="000000"/>
          <w:sz w:val="20"/>
          <w:szCs w:val="20"/>
          <w:u w:val="single"/>
        </w:rPr>
        <w:t>Source</w:t>
      </w:r>
    </w:p>
    <w:p w:rsidR="009C16FF" w:rsidRPr="002E5DFD" w:rsidRDefault="009C16FF" w:rsidP="00EF12E8">
      <w:pPr>
        <w:pStyle w:val="Heading1"/>
        <w:numPr>
          <w:ilvl w:val="0"/>
          <w:numId w:val="0"/>
        </w:numPr>
        <w:spacing w:before="0" w:line="240" w:lineRule="auto"/>
        <w:rPr>
          <w:rFonts w:ascii="Calibri" w:hAnsi="Calibri" w:cs="Calibri"/>
          <w:color w:val="000000"/>
          <w:sz w:val="20"/>
          <w:szCs w:val="20"/>
        </w:rPr>
      </w:pPr>
    </w:p>
    <w:p w:rsidR="009C16FF" w:rsidRPr="002E5DFD" w:rsidRDefault="009C16FF" w:rsidP="00EF12E8">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w:t>
      </w:r>
      <w:r w:rsidRPr="002E5DFD">
        <w:rPr>
          <w:rFonts w:ascii="Calibri" w:hAnsi="Calibri" w:cs="Calibri"/>
          <w:color w:val="000000"/>
          <w:sz w:val="20"/>
          <w:szCs w:val="20"/>
        </w:rPr>
        <w:tab/>
        <w:t>2019 Quantity</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t xml:space="preserve">       228</w:t>
      </w:r>
      <w:r w:rsidRPr="002E5DFD">
        <w:rPr>
          <w:rFonts w:ascii="Calibri" w:hAnsi="Calibri" w:cs="Calibri"/>
          <w:color w:val="000000"/>
          <w:sz w:val="20"/>
          <w:szCs w:val="20"/>
        </w:rPr>
        <w:tab/>
      </w:r>
      <w:r w:rsidRPr="002E5DFD">
        <w:rPr>
          <w:rFonts w:ascii="Calibri" w:hAnsi="Calibri" w:cs="Calibri"/>
          <w:color w:val="000000"/>
          <w:sz w:val="20"/>
          <w:szCs w:val="20"/>
        </w:rPr>
        <w:tab/>
        <w:t>2018-2020 Plan (Bates 237)</w:t>
      </w:r>
    </w:p>
    <w:p w:rsidR="009C16FF" w:rsidRPr="002E5DFD" w:rsidRDefault="009C16FF" w:rsidP="00EF12E8">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 xml:space="preserve">2 </w:t>
      </w:r>
      <w:r w:rsidRPr="002E5DFD">
        <w:rPr>
          <w:rFonts w:ascii="Calibri" w:hAnsi="Calibri" w:cs="Calibri"/>
          <w:color w:val="000000"/>
          <w:sz w:val="20"/>
          <w:szCs w:val="20"/>
        </w:rPr>
        <w:tab/>
        <w:t>2019 Gross Annual Savings per Unit (kWh</w:t>
      </w:r>
      <w:r w:rsidR="003E396D">
        <w:rPr>
          <w:rFonts w:ascii="Calibri" w:hAnsi="Calibri" w:cs="Calibri"/>
          <w:color w:val="000000"/>
          <w:sz w:val="20"/>
          <w:szCs w:val="20"/>
          <w:lang w:val="en-US"/>
        </w:rPr>
        <w:t>)</w:t>
      </w:r>
      <w:r w:rsidRPr="002E5DFD">
        <w:rPr>
          <w:rFonts w:ascii="Calibri" w:hAnsi="Calibri" w:cs="Calibri"/>
          <w:color w:val="000000"/>
          <w:sz w:val="20"/>
          <w:szCs w:val="20"/>
        </w:rPr>
        <w:t xml:space="preserve">      63,006</w:t>
      </w:r>
      <w:r w:rsidRPr="002E5DFD">
        <w:rPr>
          <w:rFonts w:ascii="Calibri" w:hAnsi="Calibri" w:cs="Calibri"/>
          <w:color w:val="000000"/>
          <w:sz w:val="20"/>
          <w:szCs w:val="20"/>
        </w:rPr>
        <w:tab/>
      </w:r>
      <w:r w:rsidRPr="002E5DFD">
        <w:rPr>
          <w:rFonts w:ascii="Calibri" w:hAnsi="Calibri" w:cs="Calibri"/>
          <w:color w:val="000000"/>
          <w:sz w:val="20"/>
          <w:szCs w:val="20"/>
        </w:rPr>
        <w:tab/>
        <w:t>2018-2020 Plan (Bates 237)</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3</w:t>
      </w:r>
      <w:r w:rsidRPr="002E5DFD">
        <w:rPr>
          <w:rFonts w:ascii="Calibri" w:hAnsi="Calibri" w:cs="Calibri"/>
          <w:color w:val="000000"/>
          <w:sz w:val="20"/>
          <w:szCs w:val="20"/>
        </w:rPr>
        <w:tab/>
        <w:t>Maximum Demand Factor</w:t>
      </w:r>
      <w:r w:rsidRPr="002E5DFD">
        <w:rPr>
          <w:rFonts w:ascii="Calibri" w:hAnsi="Calibri" w:cs="Calibri"/>
          <w:color w:val="000000"/>
          <w:sz w:val="20"/>
          <w:szCs w:val="20"/>
        </w:rPr>
        <w:tab/>
      </w:r>
      <w:r w:rsidRPr="002E5DFD">
        <w:rPr>
          <w:rFonts w:ascii="Calibri" w:hAnsi="Calibri" w:cs="Calibri"/>
          <w:color w:val="000000"/>
          <w:sz w:val="20"/>
          <w:szCs w:val="20"/>
        </w:rPr>
        <w:tab/>
        <w:t xml:space="preserve">           0.0001814</w:t>
      </w:r>
      <w:r w:rsidRPr="002E5DFD">
        <w:rPr>
          <w:rFonts w:ascii="Calibri" w:hAnsi="Calibri" w:cs="Calibri"/>
          <w:color w:val="000000"/>
          <w:sz w:val="20"/>
          <w:szCs w:val="20"/>
        </w:rPr>
        <w:tab/>
      </w:r>
      <w:r w:rsidRPr="002E5DFD">
        <w:rPr>
          <w:rFonts w:ascii="Calibri" w:hAnsi="Calibri" w:cs="Calibri"/>
          <w:color w:val="000000"/>
          <w:sz w:val="20"/>
          <w:szCs w:val="20"/>
        </w:rPr>
        <w:tab/>
        <w:t>2016 actual meas. Install.</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4</w:t>
      </w:r>
      <w:r w:rsidRPr="002E5DFD">
        <w:rPr>
          <w:rFonts w:ascii="Calibri" w:hAnsi="Calibri" w:cs="Calibri"/>
          <w:color w:val="000000"/>
          <w:sz w:val="20"/>
          <w:szCs w:val="20"/>
        </w:rPr>
        <w:tab/>
        <w:t>Maximum Load Reduction</w:t>
      </w:r>
      <w:r w:rsidRPr="002E5DFD">
        <w:rPr>
          <w:rFonts w:ascii="Calibri" w:hAnsi="Calibri" w:cs="Calibri"/>
          <w:color w:val="000000"/>
          <w:sz w:val="20"/>
          <w:szCs w:val="20"/>
        </w:rPr>
        <w:tab/>
      </w:r>
      <w:r w:rsidR="009824F7">
        <w:rPr>
          <w:rFonts w:ascii="Calibri" w:hAnsi="Calibri" w:cs="Calibri"/>
          <w:color w:val="000000"/>
          <w:sz w:val="20"/>
          <w:szCs w:val="20"/>
          <w:lang w:val="en-US"/>
        </w:rPr>
        <w:t>kW</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11.4</w:t>
      </w:r>
      <w:r w:rsidRPr="002E5DFD">
        <w:rPr>
          <w:rFonts w:ascii="Calibri" w:hAnsi="Calibri" w:cs="Calibri"/>
          <w:color w:val="000000"/>
          <w:sz w:val="20"/>
          <w:szCs w:val="20"/>
        </w:rPr>
        <w:tab/>
      </w:r>
      <w:r w:rsidRPr="002E5DFD">
        <w:rPr>
          <w:rFonts w:ascii="Calibri" w:hAnsi="Calibri" w:cs="Calibri"/>
          <w:color w:val="000000"/>
          <w:sz w:val="20"/>
          <w:szCs w:val="20"/>
        </w:rPr>
        <w:tab/>
        <w:t>Line 2 x Line 3</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5</w:t>
      </w:r>
      <w:r w:rsidRPr="002E5DFD">
        <w:rPr>
          <w:rFonts w:ascii="Calibri" w:hAnsi="Calibri" w:cs="Calibri"/>
          <w:color w:val="000000"/>
          <w:sz w:val="20"/>
          <w:szCs w:val="20"/>
        </w:rPr>
        <w:tab/>
        <w:t>Extended Maximum Load Reduction kW</w:t>
      </w:r>
      <w:r w:rsidRPr="002E5DFD">
        <w:rPr>
          <w:rFonts w:ascii="Calibri" w:hAnsi="Calibri" w:cs="Calibri"/>
          <w:color w:val="000000"/>
          <w:sz w:val="20"/>
          <w:szCs w:val="20"/>
        </w:rPr>
        <w:tab/>
        <w:t xml:space="preserve">    2,600</w:t>
      </w:r>
      <w:r w:rsidRPr="002E5DFD">
        <w:rPr>
          <w:rFonts w:ascii="Calibri" w:hAnsi="Calibri" w:cs="Calibri"/>
          <w:color w:val="000000"/>
          <w:sz w:val="20"/>
          <w:szCs w:val="20"/>
        </w:rPr>
        <w:tab/>
      </w:r>
      <w:r w:rsidRPr="002E5DFD">
        <w:rPr>
          <w:rFonts w:ascii="Calibri" w:hAnsi="Calibri" w:cs="Calibri"/>
          <w:color w:val="000000"/>
          <w:sz w:val="20"/>
          <w:szCs w:val="20"/>
        </w:rPr>
        <w:tab/>
        <w:t>Line 1 x Line 4</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6</w:t>
      </w:r>
      <w:r w:rsidRPr="002E5DFD">
        <w:rPr>
          <w:rFonts w:ascii="Calibri" w:hAnsi="Calibri" w:cs="Calibri"/>
          <w:color w:val="000000"/>
          <w:sz w:val="20"/>
          <w:szCs w:val="20"/>
        </w:rPr>
        <w:tab/>
        <w:t>% kW Demand Reduction at Customer Peak</w:t>
      </w:r>
      <w:r w:rsidRPr="002E5DFD">
        <w:rPr>
          <w:rFonts w:ascii="Calibri" w:hAnsi="Calibri" w:cs="Calibri"/>
          <w:color w:val="000000"/>
          <w:sz w:val="20"/>
          <w:szCs w:val="20"/>
        </w:rPr>
        <w:tab/>
        <w:t xml:space="preserve"> </w:t>
      </w:r>
      <w:r w:rsidRPr="002E5DFD">
        <w:rPr>
          <w:rFonts w:ascii="Calibri" w:hAnsi="Calibri" w:cs="Calibri"/>
          <w:color w:val="000000"/>
          <w:sz w:val="20"/>
          <w:szCs w:val="20"/>
          <w:u w:val="single"/>
        </w:rPr>
        <w:t>86.96%</w:t>
      </w:r>
      <w:r w:rsidRPr="002E5DFD">
        <w:rPr>
          <w:rFonts w:ascii="Calibri" w:hAnsi="Calibri" w:cs="Calibri"/>
          <w:color w:val="000000"/>
          <w:sz w:val="20"/>
          <w:szCs w:val="20"/>
        </w:rPr>
        <w:tab/>
      </w:r>
      <w:r w:rsidRPr="002E5DFD">
        <w:rPr>
          <w:rFonts w:ascii="Calibri" w:hAnsi="Calibri" w:cs="Calibri"/>
          <w:color w:val="000000"/>
          <w:sz w:val="20"/>
          <w:szCs w:val="20"/>
        </w:rPr>
        <w:tab/>
        <w:t>DNV-GL, Sept. 2015 data</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7</w:t>
      </w:r>
      <w:r w:rsidRPr="002E5DFD">
        <w:rPr>
          <w:rFonts w:ascii="Calibri" w:hAnsi="Calibri" w:cs="Calibri"/>
          <w:color w:val="000000"/>
          <w:sz w:val="20"/>
          <w:szCs w:val="20"/>
        </w:rPr>
        <w:tab/>
        <w:t xml:space="preserve">Sub-Total, Customer Peak kW Reduction </w:t>
      </w:r>
      <w:r w:rsidRPr="002E5DFD">
        <w:rPr>
          <w:rFonts w:ascii="Calibri" w:hAnsi="Calibri" w:cs="Calibri"/>
          <w:color w:val="000000"/>
          <w:sz w:val="20"/>
          <w:szCs w:val="20"/>
        </w:rPr>
        <w:tab/>
        <w:t xml:space="preserve">     2,261</w:t>
      </w:r>
      <w:r w:rsidRPr="002E5DFD">
        <w:rPr>
          <w:rFonts w:ascii="Calibri" w:hAnsi="Calibri" w:cs="Calibri"/>
          <w:color w:val="000000"/>
          <w:sz w:val="20"/>
          <w:szCs w:val="20"/>
        </w:rPr>
        <w:tab/>
      </w:r>
      <w:r w:rsidRPr="002E5DFD">
        <w:rPr>
          <w:rFonts w:ascii="Calibri" w:hAnsi="Calibri" w:cs="Calibri"/>
          <w:color w:val="000000"/>
          <w:sz w:val="20"/>
          <w:szCs w:val="20"/>
        </w:rPr>
        <w:tab/>
        <w:t>Line 5 x Line 6</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8</w:t>
      </w:r>
      <w:r w:rsidRPr="002E5DFD">
        <w:rPr>
          <w:rFonts w:ascii="Calibri" w:hAnsi="Calibri" w:cs="Calibri"/>
          <w:color w:val="000000"/>
          <w:sz w:val="20"/>
          <w:szCs w:val="20"/>
        </w:rPr>
        <w:tab/>
        <w:t>% Net to Gross Percentage</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100%</w:t>
      </w:r>
      <w:r w:rsidRPr="002E5DFD">
        <w:rPr>
          <w:rFonts w:ascii="Calibri" w:hAnsi="Calibri" w:cs="Calibri"/>
          <w:color w:val="000000"/>
          <w:sz w:val="20"/>
          <w:szCs w:val="20"/>
        </w:rPr>
        <w:tab/>
      </w:r>
      <w:r w:rsidRPr="002E5DFD">
        <w:rPr>
          <w:rFonts w:ascii="Calibri" w:hAnsi="Calibri" w:cs="Calibri"/>
          <w:color w:val="000000"/>
          <w:sz w:val="20"/>
          <w:szCs w:val="20"/>
        </w:rPr>
        <w:tab/>
        <w:t>NH PUC Precedent</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9</w:t>
      </w:r>
      <w:r w:rsidRPr="002E5DFD">
        <w:rPr>
          <w:rFonts w:ascii="Calibri" w:hAnsi="Calibri" w:cs="Calibri"/>
          <w:color w:val="000000"/>
          <w:sz w:val="20"/>
          <w:szCs w:val="20"/>
        </w:rPr>
        <w:tab/>
        <w:t>Sub-Total, Customer Peak kW Reduction</w:t>
      </w:r>
      <w:r w:rsidRPr="002E5DFD">
        <w:rPr>
          <w:rFonts w:ascii="Calibri" w:hAnsi="Calibri" w:cs="Calibri"/>
          <w:color w:val="000000"/>
          <w:sz w:val="20"/>
          <w:szCs w:val="20"/>
        </w:rPr>
        <w:tab/>
        <w:t xml:space="preserve">     2,261</w:t>
      </w:r>
      <w:r w:rsidRPr="002E5DFD">
        <w:rPr>
          <w:rFonts w:ascii="Calibri" w:hAnsi="Calibri" w:cs="Calibri"/>
          <w:color w:val="000000"/>
          <w:sz w:val="20"/>
          <w:szCs w:val="20"/>
        </w:rPr>
        <w:tab/>
      </w:r>
      <w:r w:rsidRPr="002E5DFD">
        <w:rPr>
          <w:rFonts w:ascii="Calibri" w:hAnsi="Calibri" w:cs="Calibri"/>
          <w:color w:val="000000"/>
          <w:sz w:val="20"/>
          <w:szCs w:val="20"/>
        </w:rPr>
        <w:tab/>
        <w:t>Line 7 x Line 8</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10</w:t>
      </w:r>
      <w:r w:rsidRPr="002E5DFD">
        <w:rPr>
          <w:rFonts w:ascii="Calibri" w:hAnsi="Calibri" w:cs="Calibri"/>
          <w:color w:val="000000"/>
          <w:sz w:val="20"/>
          <w:szCs w:val="20"/>
        </w:rPr>
        <w:tab/>
        <w:t>% In-Service Rate</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100%</w:t>
      </w:r>
      <w:r w:rsidRPr="002E5DFD">
        <w:rPr>
          <w:rFonts w:ascii="Calibri" w:hAnsi="Calibri" w:cs="Calibri"/>
          <w:color w:val="000000"/>
          <w:sz w:val="20"/>
          <w:szCs w:val="20"/>
        </w:rPr>
        <w:tab/>
      </w:r>
      <w:r w:rsidRPr="002E5DFD">
        <w:rPr>
          <w:rFonts w:ascii="Calibri" w:hAnsi="Calibri" w:cs="Calibri"/>
          <w:color w:val="000000"/>
          <w:sz w:val="20"/>
          <w:szCs w:val="20"/>
        </w:rPr>
        <w:tab/>
        <w:t>DNV-GL, Sept. 2015 Study</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11</w:t>
      </w:r>
      <w:r w:rsidRPr="002E5DFD">
        <w:rPr>
          <w:rFonts w:ascii="Calibri" w:hAnsi="Calibri" w:cs="Calibri"/>
          <w:color w:val="000000"/>
          <w:sz w:val="20"/>
          <w:szCs w:val="20"/>
        </w:rPr>
        <w:tab/>
        <w:t xml:space="preserve">Sub-Total, Customer </w:t>
      </w:r>
      <w:r w:rsidR="009824F7">
        <w:rPr>
          <w:rFonts w:ascii="Calibri" w:hAnsi="Calibri" w:cs="Calibri"/>
          <w:color w:val="000000"/>
          <w:sz w:val="20"/>
          <w:szCs w:val="20"/>
          <w:lang w:val="en-US"/>
        </w:rPr>
        <w:t xml:space="preserve">Peak </w:t>
      </w:r>
      <w:r w:rsidRPr="002E5DFD">
        <w:rPr>
          <w:rFonts w:ascii="Calibri" w:hAnsi="Calibri" w:cs="Calibri"/>
          <w:color w:val="000000"/>
          <w:sz w:val="20"/>
          <w:szCs w:val="20"/>
        </w:rPr>
        <w:t>kW Reduction</w:t>
      </w:r>
      <w:r w:rsidRPr="002E5DFD">
        <w:rPr>
          <w:rFonts w:ascii="Calibri" w:hAnsi="Calibri" w:cs="Calibri"/>
          <w:color w:val="000000"/>
          <w:sz w:val="20"/>
          <w:szCs w:val="20"/>
        </w:rPr>
        <w:tab/>
        <w:t xml:space="preserve">     2,261</w:t>
      </w:r>
      <w:r w:rsidRPr="002E5DFD">
        <w:rPr>
          <w:rFonts w:ascii="Calibri" w:hAnsi="Calibri" w:cs="Calibri"/>
          <w:color w:val="000000"/>
          <w:sz w:val="20"/>
          <w:szCs w:val="20"/>
        </w:rPr>
        <w:tab/>
      </w:r>
      <w:r w:rsidRPr="002E5DFD">
        <w:rPr>
          <w:rFonts w:ascii="Calibri" w:hAnsi="Calibri" w:cs="Calibri"/>
          <w:color w:val="000000"/>
          <w:sz w:val="20"/>
          <w:szCs w:val="20"/>
        </w:rPr>
        <w:tab/>
        <w:t>Line 9 x Line 10</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12</w:t>
      </w:r>
      <w:r w:rsidRPr="002E5DFD">
        <w:rPr>
          <w:rFonts w:ascii="Calibri" w:hAnsi="Calibri" w:cs="Calibri"/>
          <w:color w:val="000000"/>
          <w:sz w:val="20"/>
          <w:szCs w:val="20"/>
        </w:rPr>
        <w:tab/>
        <w:t>% kW Realization Rate</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0.977%</w:t>
      </w:r>
      <w:r w:rsidRPr="002E5DFD">
        <w:rPr>
          <w:rFonts w:ascii="Calibri" w:hAnsi="Calibri" w:cs="Calibri"/>
          <w:color w:val="000000"/>
          <w:sz w:val="20"/>
          <w:szCs w:val="20"/>
          <w:u w:val="single"/>
        </w:rPr>
        <w:tab/>
      </w:r>
      <w:r w:rsidRPr="002E5DFD">
        <w:rPr>
          <w:rFonts w:ascii="Calibri" w:hAnsi="Calibri" w:cs="Calibri"/>
          <w:color w:val="000000"/>
          <w:sz w:val="20"/>
          <w:szCs w:val="20"/>
        </w:rPr>
        <w:tab/>
        <w:t>DNV-GL, Sept. 2015 Study</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13</w:t>
      </w:r>
      <w:r w:rsidRPr="002E5DFD">
        <w:rPr>
          <w:rFonts w:ascii="Calibri" w:hAnsi="Calibri" w:cs="Calibri"/>
          <w:color w:val="000000"/>
          <w:sz w:val="20"/>
          <w:szCs w:val="20"/>
        </w:rPr>
        <w:tab/>
        <w:t xml:space="preserve">Sub-Total, Customer Peak kW Reduction </w:t>
      </w:r>
      <w:r w:rsidRPr="002E5DFD">
        <w:rPr>
          <w:rFonts w:ascii="Calibri" w:hAnsi="Calibri" w:cs="Calibri"/>
          <w:color w:val="000000"/>
          <w:sz w:val="20"/>
          <w:szCs w:val="20"/>
        </w:rPr>
        <w:tab/>
        <w:t xml:space="preserve">     2,209</w:t>
      </w:r>
      <w:r w:rsidRPr="002E5DFD">
        <w:rPr>
          <w:rFonts w:ascii="Calibri" w:hAnsi="Calibri" w:cs="Calibri"/>
          <w:color w:val="000000"/>
          <w:sz w:val="20"/>
          <w:szCs w:val="20"/>
        </w:rPr>
        <w:tab/>
      </w:r>
      <w:r w:rsidRPr="002E5DFD">
        <w:rPr>
          <w:rFonts w:ascii="Calibri" w:hAnsi="Calibri" w:cs="Calibri"/>
          <w:color w:val="000000"/>
          <w:sz w:val="20"/>
          <w:szCs w:val="20"/>
        </w:rPr>
        <w:tab/>
        <w:t>Line 11 x Line 12</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14</w:t>
      </w:r>
      <w:r w:rsidRPr="002E5DFD">
        <w:rPr>
          <w:rFonts w:ascii="Calibri" w:hAnsi="Calibri" w:cs="Calibri"/>
          <w:color w:val="000000"/>
          <w:sz w:val="20"/>
          <w:szCs w:val="20"/>
        </w:rPr>
        <w:tab/>
        <w:t>Billing Adjustment to Reflect Ratchets</w:t>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100%</w:t>
      </w:r>
      <w:r w:rsidRPr="002E5DFD">
        <w:rPr>
          <w:rFonts w:ascii="Calibri" w:hAnsi="Calibri" w:cs="Calibri"/>
          <w:color w:val="000000"/>
          <w:sz w:val="20"/>
          <w:szCs w:val="20"/>
        </w:rPr>
        <w:tab/>
      </w:r>
      <w:r w:rsidRPr="002E5DFD">
        <w:rPr>
          <w:rFonts w:ascii="Calibri" w:hAnsi="Calibri" w:cs="Calibri"/>
          <w:color w:val="000000"/>
          <w:sz w:val="20"/>
          <w:szCs w:val="20"/>
        </w:rPr>
        <w:tab/>
        <w:t>LBR Report, Section VI</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15</w:t>
      </w:r>
      <w:r w:rsidRPr="002E5DFD">
        <w:rPr>
          <w:rFonts w:ascii="Calibri" w:hAnsi="Calibri" w:cs="Calibri"/>
          <w:color w:val="000000"/>
          <w:sz w:val="20"/>
          <w:szCs w:val="20"/>
        </w:rPr>
        <w:tab/>
        <w:t>Sub-Total, Customer Peak kW Reduction</w:t>
      </w:r>
      <w:r w:rsidRPr="002E5DFD">
        <w:rPr>
          <w:rFonts w:ascii="Calibri" w:hAnsi="Calibri" w:cs="Calibri"/>
          <w:color w:val="000000"/>
          <w:sz w:val="20"/>
          <w:szCs w:val="20"/>
        </w:rPr>
        <w:tab/>
        <w:t xml:space="preserve">     2,209</w:t>
      </w:r>
      <w:r w:rsidRPr="002E5DFD">
        <w:rPr>
          <w:rFonts w:ascii="Calibri" w:hAnsi="Calibri" w:cs="Calibri"/>
          <w:color w:val="000000"/>
          <w:sz w:val="20"/>
          <w:szCs w:val="20"/>
        </w:rPr>
        <w:tab/>
      </w:r>
      <w:r w:rsidRPr="002E5DFD">
        <w:rPr>
          <w:rFonts w:ascii="Calibri" w:hAnsi="Calibri" w:cs="Calibri"/>
          <w:color w:val="000000"/>
          <w:sz w:val="20"/>
          <w:szCs w:val="20"/>
        </w:rPr>
        <w:tab/>
        <w:t>Line 13 x Line 14</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16</w:t>
      </w:r>
      <w:r w:rsidRPr="002E5DFD">
        <w:rPr>
          <w:rFonts w:ascii="Calibri" w:hAnsi="Calibri" w:cs="Calibri"/>
          <w:color w:val="000000"/>
          <w:sz w:val="20"/>
          <w:szCs w:val="20"/>
        </w:rPr>
        <w:tab/>
        <w:t>Retirement Adjustment</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100%</w:t>
      </w:r>
      <w:r w:rsidRPr="002E5DFD">
        <w:rPr>
          <w:rFonts w:ascii="Calibri" w:hAnsi="Calibri" w:cs="Calibri"/>
          <w:color w:val="000000"/>
          <w:sz w:val="20"/>
          <w:szCs w:val="20"/>
        </w:rPr>
        <w:tab/>
      </w:r>
      <w:r w:rsidRPr="002E5DFD">
        <w:rPr>
          <w:rFonts w:ascii="Calibri" w:hAnsi="Calibri" w:cs="Calibri"/>
          <w:color w:val="000000"/>
          <w:sz w:val="20"/>
          <w:szCs w:val="20"/>
        </w:rPr>
        <w:tab/>
        <w:t>LBR Report, Section III-</w:t>
      </w:r>
      <w:r w:rsidR="007F7B9F">
        <w:rPr>
          <w:rFonts w:ascii="Calibri" w:hAnsi="Calibri" w:cs="Calibri"/>
          <w:color w:val="000000"/>
          <w:sz w:val="20"/>
          <w:szCs w:val="20"/>
          <w:lang w:val="en-US"/>
        </w:rPr>
        <w:t>F</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17</w:t>
      </w:r>
      <w:r w:rsidRPr="002E5DFD">
        <w:rPr>
          <w:rFonts w:ascii="Calibri" w:hAnsi="Calibri" w:cs="Calibri"/>
          <w:color w:val="000000"/>
          <w:sz w:val="20"/>
          <w:szCs w:val="20"/>
        </w:rPr>
        <w:tab/>
        <w:t>Total Customer Peak Reduction, Full Year</w:t>
      </w:r>
      <w:r w:rsidRPr="002E5DFD">
        <w:rPr>
          <w:rFonts w:ascii="Calibri" w:hAnsi="Calibri" w:cs="Calibri"/>
          <w:color w:val="000000"/>
          <w:sz w:val="20"/>
          <w:szCs w:val="20"/>
        </w:rPr>
        <w:tab/>
        <w:t xml:space="preserve">     2,209</w:t>
      </w:r>
      <w:r w:rsidRPr="002E5DFD">
        <w:rPr>
          <w:rFonts w:ascii="Calibri" w:hAnsi="Calibri" w:cs="Calibri"/>
          <w:color w:val="000000"/>
          <w:sz w:val="20"/>
          <w:szCs w:val="20"/>
        </w:rPr>
        <w:tab/>
      </w:r>
      <w:r w:rsidRPr="002E5DFD">
        <w:rPr>
          <w:rFonts w:ascii="Calibri" w:hAnsi="Calibri" w:cs="Calibri"/>
          <w:color w:val="000000"/>
          <w:sz w:val="20"/>
          <w:szCs w:val="20"/>
        </w:rPr>
        <w:tab/>
        <w:t>Line 15 x Line 16</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18</w:t>
      </w:r>
      <w:r w:rsidRPr="002E5DFD">
        <w:rPr>
          <w:rFonts w:ascii="Calibri" w:hAnsi="Calibri" w:cs="Calibri"/>
          <w:color w:val="000000"/>
          <w:sz w:val="20"/>
          <w:szCs w:val="20"/>
        </w:rPr>
        <w:tab/>
        <w:t>%</w:t>
      </w:r>
      <w:r w:rsidR="00851C37">
        <w:rPr>
          <w:rFonts w:ascii="Calibri" w:hAnsi="Calibri" w:cs="Calibri"/>
          <w:color w:val="000000"/>
          <w:sz w:val="20"/>
          <w:szCs w:val="20"/>
          <w:lang w:val="en-US"/>
        </w:rPr>
        <w:t xml:space="preserve"> </w:t>
      </w:r>
      <w:r w:rsidRPr="002E5DFD">
        <w:rPr>
          <w:rFonts w:ascii="Calibri" w:hAnsi="Calibri" w:cs="Calibri"/>
          <w:color w:val="000000"/>
          <w:sz w:val="20"/>
          <w:szCs w:val="20"/>
        </w:rPr>
        <w:t>of Annual Savings Achieved in first Year</w:t>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50%</w:t>
      </w:r>
      <w:r w:rsidRPr="002E5DFD">
        <w:rPr>
          <w:rFonts w:ascii="Calibri" w:hAnsi="Calibri" w:cs="Calibri"/>
          <w:color w:val="000000"/>
          <w:sz w:val="20"/>
          <w:szCs w:val="20"/>
        </w:rPr>
        <w:tab/>
      </w:r>
      <w:r w:rsidRPr="002E5DFD">
        <w:rPr>
          <w:rFonts w:ascii="Calibri" w:hAnsi="Calibri" w:cs="Calibri"/>
          <w:color w:val="000000"/>
          <w:sz w:val="20"/>
          <w:szCs w:val="20"/>
        </w:rPr>
        <w:tab/>
        <w:t>Half-year convention</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19</w:t>
      </w:r>
      <w:r w:rsidRPr="002E5DFD">
        <w:rPr>
          <w:rFonts w:ascii="Calibri" w:hAnsi="Calibri" w:cs="Calibri"/>
          <w:color w:val="000000"/>
          <w:sz w:val="20"/>
          <w:szCs w:val="20"/>
        </w:rPr>
        <w:tab/>
        <w:t>Total Customer Peak k</w:t>
      </w:r>
      <w:r w:rsidR="00817897">
        <w:rPr>
          <w:rFonts w:ascii="Calibri" w:hAnsi="Calibri" w:cs="Calibri"/>
          <w:color w:val="000000"/>
          <w:sz w:val="20"/>
          <w:szCs w:val="20"/>
        </w:rPr>
        <w:t>W</w:t>
      </w:r>
      <w:r w:rsidRPr="002E5DFD">
        <w:rPr>
          <w:rFonts w:ascii="Calibri" w:hAnsi="Calibri" w:cs="Calibri"/>
          <w:color w:val="000000"/>
          <w:sz w:val="20"/>
          <w:szCs w:val="20"/>
        </w:rPr>
        <w:t xml:space="preserve"> Reduction, First Year   1,105</w:t>
      </w:r>
      <w:r w:rsidR="00817897">
        <w:rPr>
          <w:rFonts w:ascii="Calibri" w:hAnsi="Calibri" w:cs="Calibri"/>
          <w:color w:val="000000"/>
          <w:sz w:val="20"/>
          <w:szCs w:val="20"/>
        </w:rPr>
        <w:tab/>
      </w:r>
      <w:r w:rsidRPr="002E5DFD">
        <w:rPr>
          <w:rFonts w:ascii="Calibri" w:hAnsi="Calibri" w:cs="Calibri"/>
          <w:color w:val="000000"/>
          <w:sz w:val="20"/>
          <w:szCs w:val="20"/>
        </w:rPr>
        <w:tab/>
        <w:t xml:space="preserve">Line 17 x Line 18 </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20</w:t>
      </w:r>
      <w:r w:rsidRPr="002E5DFD">
        <w:rPr>
          <w:rFonts w:ascii="Calibri" w:hAnsi="Calibri" w:cs="Calibri"/>
          <w:color w:val="000000"/>
          <w:sz w:val="20"/>
          <w:szCs w:val="20"/>
        </w:rPr>
        <w:tab/>
      </w:r>
      <w:r w:rsidR="00200926">
        <w:rPr>
          <w:rFonts w:ascii="Calibri" w:hAnsi="Calibri" w:cs="Calibri"/>
          <w:color w:val="000000"/>
          <w:sz w:val="20"/>
          <w:szCs w:val="20"/>
          <w:lang w:val="en-US"/>
        </w:rPr>
        <w:t xml:space="preserve">LBR ADR </w:t>
      </w:r>
      <w:r w:rsidRPr="002E5DFD">
        <w:rPr>
          <w:rFonts w:ascii="Calibri" w:hAnsi="Calibri" w:cs="Calibri"/>
          <w:color w:val="000000"/>
          <w:sz w:val="20"/>
          <w:szCs w:val="20"/>
        </w:rPr>
        <w:t>per kW</w:t>
      </w:r>
      <w:r w:rsidR="00347595">
        <w:rPr>
          <w:rFonts w:ascii="Calibri" w:hAnsi="Calibri" w:cs="Calibri"/>
          <w:color w:val="000000"/>
          <w:sz w:val="20"/>
          <w:szCs w:val="20"/>
          <w:lang w:val="en-US"/>
        </w:rPr>
        <w:tab/>
      </w:r>
      <w:r w:rsidR="00347595">
        <w:rPr>
          <w:rFonts w:ascii="Calibri" w:hAnsi="Calibri" w:cs="Calibri"/>
          <w:color w:val="000000"/>
          <w:sz w:val="20"/>
          <w:szCs w:val="20"/>
          <w:lang w:val="en-US"/>
        </w:rPr>
        <w:tab/>
      </w:r>
      <w:r w:rsidR="00347595">
        <w:rPr>
          <w:rFonts w:ascii="Calibri" w:hAnsi="Calibri" w:cs="Calibri"/>
          <w:color w:val="000000"/>
          <w:sz w:val="20"/>
          <w:szCs w:val="20"/>
          <w:lang w:val="en-US"/>
        </w:rPr>
        <w:tab/>
      </w:r>
      <w:r w:rsidR="00347595">
        <w:rPr>
          <w:rFonts w:ascii="Calibri" w:hAnsi="Calibri" w:cs="Calibri"/>
          <w:color w:val="000000"/>
          <w:sz w:val="20"/>
          <w:szCs w:val="20"/>
          <w:lang w:val="en-US"/>
        </w:rPr>
        <w:tab/>
      </w:r>
      <w:r w:rsidRPr="002E5DFD">
        <w:rPr>
          <w:rFonts w:ascii="Calibri" w:hAnsi="Calibri" w:cs="Calibri"/>
          <w:color w:val="000000"/>
          <w:sz w:val="20"/>
          <w:szCs w:val="20"/>
          <w:u w:val="single"/>
        </w:rPr>
        <w:t xml:space="preserve">      $6.40</w:t>
      </w:r>
      <w:r w:rsidRPr="002E5DFD">
        <w:rPr>
          <w:rFonts w:ascii="Calibri" w:hAnsi="Calibri" w:cs="Calibri"/>
          <w:color w:val="000000"/>
          <w:sz w:val="20"/>
          <w:szCs w:val="20"/>
        </w:rPr>
        <w:tab/>
        <w:t xml:space="preserve">Appendix </w:t>
      </w:r>
      <w:r w:rsidR="007F7B9F">
        <w:rPr>
          <w:rFonts w:ascii="Calibri" w:hAnsi="Calibri" w:cs="Calibri"/>
          <w:color w:val="000000"/>
          <w:sz w:val="20"/>
          <w:szCs w:val="20"/>
          <w:lang w:val="en-US"/>
        </w:rPr>
        <w:t>D</w:t>
      </w:r>
    </w:p>
    <w:p w:rsidR="009C16FF" w:rsidRPr="002E5DFD" w:rsidRDefault="009C16FF" w:rsidP="009C16FF">
      <w:pPr>
        <w:pStyle w:val="Heading1"/>
        <w:numPr>
          <w:ilvl w:val="0"/>
          <w:numId w:val="0"/>
        </w:numPr>
        <w:spacing w:before="0" w:line="240" w:lineRule="auto"/>
        <w:rPr>
          <w:rFonts w:ascii="Calibri" w:hAnsi="Calibri" w:cs="Calibri"/>
          <w:color w:val="000000"/>
          <w:sz w:val="20"/>
          <w:szCs w:val="20"/>
        </w:rPr>
      </w:pPr>
      <w:r w:rsidRPr="002E5DFD">
        <w:rPr>
          <w:rFonts w:ascii="Calibri" w:hAnsi="Calibri" w:cs="Calibri"/>
          <w:color w:val="000000"/>
          <w:sz w:val="20"/>
          <w:szCs w:val="20"/>
        </w:rPr>
        <w:t>21</w:t>
      </w:r>
      <w:r w:rsidRPr="002E5DFD">
        <w:rPr>
          <w:rFonts w:ascii="Calibri" w:hAnsi="Calibri" w:cs="Calibri"/>
          <w:color w:val="000000"/>
          <w:sz w:val="20"/>
          <w:szCs w:val="20"/>
        </w:rPr>
        <w:tab/>
        <w:t>Lost Based Revenue (LBR)</w:t>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rPr>
        <w:tab/>
      </w:r>
      <w:r w:rsidRPr="002E5DFD">
        <w:rPr>
          <w:rFonts w:ascii="Calibri" w:hAnsi="Calibri" w:cs="Calibri"/>
          <w:color w:val="000000"/>
          <w:sz w:val="20"/>
          <w:szCs w:val="20"/>
          <w:u w:val="single"/>
        </w:rPr>
        <w:t xml:space="preserve">    $7,072</w:t>
      </w:r>
      <w:r w:rsidRPr="002E5DFD">
        <w:rPr>
          <w:rFonts w:ascii="Calibri" w:hAnsi="Calibri" w:cs="Calibri"/>
          <w:color w:val="000000"/>
          <w:sz w:val="20"/>
          <w:szCs w:val="20"/>
        </w:rPr>
        <w:tab/>
        <w:t>Line 19 x Line 20</w:t>
      </w:r>
    </w:p>
    <w:p w:rsidR="009C16FF" w:rsidRPr="002E5DFD" w:rsidRDefault="009C16FF" w:rsidP="009C16FF">
      <w:pPr>
        <w:spacing w:after="0" w:line="240" w:lineRule="auto"/>
        <w:rPr>
          <w:rFonts w:cs="Calibri"/>
          <w:color w:val="000000"/>
        </w:rPr>
      </w:pPr>
      <w:r w:rsidRPr="002E5DFD">
        <w:rPr>
          <w:rFonts w:cs="Calibri"/>
          <w:color w:val="000000"/>
        </w:rPr>
        <w:tab/>
      </w:r>
      <w:r w:rsidRPr="002E5DFD">
        <w:rPr>
          <w:rFonts w:cs="Calibri"/>
          <w:color w:val="000000"/>
        </w:rPr>
        <w:tab/>
      </w:r>
    </w:p>
    <w:p w:rsidR="009C16FF" w:rsidRPr="002E5DFD" w:rsidRDefault="009C16FF" w:rsidP="009C16FF">
      <w:pPr>
        <w:spacing w:after="0" w:line="240" w:lineRule="auto"/>
        <w:rPr>
          <w:rFonts w:cs="Calibri"/>
          <w:color w:val="000000"/>
        </w:rPr>
      </w:pPr>
      <w:r w:rsidRPr="002E5DFD">
        <w:rPr>
          <w:rFonts w:cs="Calibri"/>
          <w:color w:val="000000"/>
        </w:rPr>
        <w:tab/>
      </w:r>
      <w:r w:rsidRPr="002E5DFD">
        <w:rPr>
          <w:rFonts w:cs="Calibri"/>
          <w:color w:val="000000"/>
        </w:rPr>
        <w:tab/>
        <w:t>*Values are rounded</w:t>
      </w:r>
    </w:p>
    <w:p w:rsidR="00EE2C3B" w:rsidRPr="002E5DFD" w:rsidRDefault="00EE2C3B" w:rsidP="00EE2C3B">
      <w:pPr>
        <w:pStyle w:val="Heading1"/>
        <w:numPr>
          <w:ilvl w:val="0"/>
          <w:numId w:val="0"/>
        </w:numPr>
        <w:spacing w:before="0" w:line="240" w:lineRule="auto"/>
        <w:rPr>
          <w:rFonts w:ascii="Calibri" w:hAnsi="Calibri" w:cs="Calibri"/>
          <w:color w:val="auto"/>
          <w:sz w:val="20"/>
          <w:szCs w:val="20"/>
        </w:rPr>
      </w:pPr>
    </w:p>
    <w:p w:rsidR="00EE2C3B" w:rsidRPr="002E5DFD" w:rsidRDefault="00EE2C3B" w:rsidP="009C16FF">
      <w:pPr>
        <w:pStyle w:val="Heading1"/>
        <w:numPr>
          <w:ilvl w:val="0"/>
          <w:numId w:val="0"/>
        </w:numPr>
        <w:spacing w:before="0" w:line="240" w:lineRule="auto"/>
        <w:rPr>
          <w:rFonts w:ascii="Calibri" w:hAnsi="Calibri" w:cs="Calibri"/>
          <w:color w:val="auto"/>
          <w:sz w:val="22"/>
          <w:szCs w:val="22"/>
        </w:rPr>
      </w:pPr>
      <w:r w:rsidRPr="002E5DFD">
        <w:rPr>
          <w:rFonts w:ascii="Calibri" w:hAnsi="Calibri" w:cs="Calibri"/>
          <w:color w:val="auto"/>
          <w:sz w:val="22"/>
          <w:szCs w:val="22"/>
        </w:rPr>
        <w:t>As noted above, the methodology laid out in this template is the methodology that will be used by Eversource, Unitil and Liberty, starting for program year 2019</w:t>
      </w:r>
      <w:r w:rsidR="00776825">
        <w:rPr>
          <w:rFonts w:ascii="Calibri" w:hAnsi="Calibri" w:cs="Calibri"/>
          <w:color w:val="auto"/>
          <w:sz w:val="22"/>
          <w:szCs w:val="22"/>
          <w:lang w:val="en-US"/>
        </w:rPr>
        <w:t>.  For planning purposes 50 percent of the annualized target kWh energy and kW demand</w:t>
      </w:r>
      <w:r w:rsidR="00A1778E" w:rsidRPr="002E5DFD">
        <w:rPr>
          <w:rFonts w:ascii="Calibri" w:hAnsi="Calibri" w:cs="Calibri"/>
          <w:color w:val="auto"/>
          <w:sz w:val="22"/>
          <w:szCs w:val="22"/>
        </w:rPr>
        <w:t xml:space="preserve"> </w:t>
      </w:r>
      <w:r w:rsidR="00776825">
        <w:rPr>
          <w:rFonts w:ascii="Calibri" w:hAnsi="Calibri" w:cs="Calibri"/>
          <w:color w:val="auto"/>
          <w:sz w:val="22"/>
          <w:szCs w:val="22"/>
          <w:lang w:val="en-US"/>
        </w:rPr>
        <w:t>savings for program year 2019 are assumed to be achieved in the first year (2019) and 100 percent are assumed to be achieved in subsequent years.</w:t>
      </w:r>
      <w:r w:rsidRPr="002E5DFD">
        <w:rPr>
          <w:rFonts w:ascii="Calibri" w:hAnsi="Calibri" w:cs="Calibri"/>
          <w:color w:val="auto"/>
          <w:sz w:val="22"/>
          <w:szCs w:val="22"/>
        </w:rPr>
        <w:t xml:space="preserve"> </w:t>
      </w:r>
    </w:p>
    <w:p w:rsidR="001309D8" w:rsidRPr="002E5DFD" w:rsidRDefault="001309D8" w:rsidP="009C16FF">
      <w:pPr>
        <w:spacing w:after="0" w:line="240" w:lineRule="auto"/>
        <w:rPr>
          <w:rFonts w:cs="Calibri"/>
        </w:rPr>
      </w:pPr>
    </w:p>
    <w:p w:rsidR="00466D19" w:rsidRPr="002E5DFD" w:rsidRDefault="00466D19" w:rsidP="009C16FF">
      <w:pPr>
        <w:spacing w:after="0" w:line="240" w:lineRule="auto"/>
        <w:rPr>
          <w:rFonts w:cs="Calibri"/>
          <w:sz w:val="26"/>
          <w:szCs w:val="26"/>
        </w:rPr>
      </w:pPr>
      <w:r w:rsidRPr="002E5DFD">
        <w:rPr>
          <w:rFonts w:cs="Calibri"/>
          <w:sz w:val="26"/>
          <w:szCs w:val="26"/>
        </w:rPr>
        <w:t>B.</w:t>
      </w:r>
      <w:r w:rsidR="00EB454E" w:rsidRPr="002E5DFD">
        <w:rPr>
          <w:rFonts w:cs="Calibri"/>
          <w:sz w:val="26"/>
          <w:szCs w:val="26"/>
        </w:rPr>
        <w:tab/>
      </w:r>
      <w:r w:rsidRPr="002E5DFD">
        <w:rPr>
          <w:rFonts w:cs="Calibri"/>
          <w:sz w:val="26"/>
          <w:szCs w:val="26"/>
        </w:rPr>
        <w:t xml:space="preserve">Glossary of Terms </w:t>
      </w:r>
      <w:r w:rsidR="00FF7A9B" w:rsidRPr="002E5DFD">
        <w:rPr>
          <w:rFonts w:cs="Calibri"/>
          <w:sz w:val="26"/>
          <w:szCs w:val="26"/>
        </w:rPr>
        <w:t xml:space="preserve">Used in </w:t>
      </w:r>
      <w:r w:rsidRPr="002E5DFD">
        <w:rPr>
          <w:rFonts w:cs="Calibri"/>
          <w:sz w:val="26"/>
          <w:szCs w:val="26"/>
        </w:rPr>
        <w:t>the LBR Template</w:t>
      </w:r>
    </w:p>
    <w:p w:rsidR="00466D19" w:rsidRPr="002E5DFD" w:rsidRDefault="00466D19" w:rsidP="009C16FF">
      <w:pPr>
        <w:spacing w:after="0" w:line="240" w:lineRule="auto"/>
        <w:rPr>
          <w:rFonts w:cs="Calibri"/>
          <w:b/>
        </w:rPr>
      </w:pPr>
    </w:p>
    <w:p w:rsidR="00466D19" w:rsidRPr="002E5DFD" w:rsidRDefault="00466D19" w:rsidP="009C16FF">
      <w:pPr>
        <w:spacing w:after="0" w:line="240" w:lineRule="auto"/>
        <w:rPr>
          <w:rFonts w:cs="Calibri"/>
        </w:rPr>
      </w:pPr>
      <w:r w:rsidRPr="002E5DFD">
        <w:rPr>
          <w:rFonts w:cs="Calibri"/>
          <w:b/>
        </w:rPr>
        <w:t>Line 1, 2019 Quantity</w:t>
      </w:r>
      <w:r w:rsidRPr="002E5DFD">
        <w:rPr>
          <w:rFonts w:cs="Calibri"/>
        </w:rPr>
        <w:t>:  The number of measures specified in the Plan; for Eversource (refer to the 2018-2020 Plan, Bates 237).</w:t>
      </w:r>
    </w:p>
    <w:p w:rsidR="00466D19" w:rsidRPr="002E5DFD" w:rsidRDefault="00466D19" w:rsidP="00466D19">
      <w:pPr>
        <w:spacing w:after="0" w:line="240" w:lineRule="auto"/>
        <w:rPr>
          <w:rFonts w:cs="Calibri"/>
        </w:rPr>
      </w:pPr>
    </w:p>
    <w:p w:rsidR="00466D19" w:rsidRPr="002E5DFD" w:rsidRDefault="00466D19" w:rsidP="00466D19">
      <w:pPr>
        <w:spacing w:after="0" w:line="240" w:lineRule="auto"/>
      </w:pPr>
      <w:r w:rsidRPr="002E5DFD">
        <w:rPr>
          <w:rFonts w:cs="Calibri"/>
          <w:b/>
        </w:rPr>
        <w:t xml:space="preserve">Line 2, 2019 Gross Annual Savings per Unit (kWh):  </w:t>
      </w:r>
      <w:r w:rsidRPr="002E5DFD">
        <w:rPr>
          <w:rFonts w:cs="Calibri"/>
        </w:rPr>
        <w:t>The</w:t>
      </w:r>
      <w:r w:rsidRPr="002E5DFD">
        <w:rPr>
          <w:rFonts w:cs="Calibri"/>
          <w:b/>
        </w:rPr>
        <w:t xml:space="preserve"> </w:t>
      </w:r>
      <w:r w:rsidRPr="002E5DFD">
        <w:rPr>
          <w:rFonts w:cs="Calibri"/>
        </w:rPr>
        <w:t xml:space="preserve">unit value of savings specified in the Plan (refer to the 2018-2020 Plan, Bates 237).  For planning purposes, this unit value is assumed to be 100 percent </w:t>
      </w:r>
      <w:r w:rsidRPr="002E5DFD">
        <w:t xml:space="preserve">of the realized value. </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 xml:space="preserve">Line 3, Maximum Demand Factor (MDF):  </w:t>
      </w:r>
      <w:r w:rsidRPr="002E5DFD">
        <w:t>The ratio of the maximum demand (kW) during an assigned period to the energy (kWh) consumed during that period, usually expressed in a percent.  For LBR planning purposes, MDF is calculated by dividing the maximum load reduction (kW) for a particular end use by the annual energy use (kWh) for that end use.</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4, Maximum Load Reduction</w:t>
      </w:r>
      <w:r w:rsidRPr="002E5DFD">
        <w:t xml:space="preserve">:  This value is the product of “2019 Gross Annual Savings per Unit” multiplied by the “Maximum Demand Factor “MDF)”.  </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5, Extended Maximum Load Reduction kW:</w:t>
      </w:r>
      <w:r w:rsidRPr="002E5DFD">
        <w:t xml:space="preserve">  This value is the product of “Line 1, 2019 Quantity” multiplied by the “Line 2, Maximum Load Reduction”.</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6, % kW Demand Reduction Expected to Occur at Customer Peak</w:t>
      </w:r>
      <w:r w:rsidRPr="002E5DFD">
        <w:t>:  For planning purposes, the C&amp;I Retrofit Lighting – LED demand reduction percentage in the Template reflect</w:t>
      </w:r>
      <w:r w:rsidR="00C46F2B" w:rsidRPr="002E5DFD">
        <w:t>s</w:t>
      </w:r>
      <w:r w:rsidRPr="002E5DFD">
        <w:t xml:space="preserve"> the C&amp;I Program Impact Study conducted by DNV-GL (September , 2015 Study),</w:t>
      </w:r>
      <w:r w:rsidRPr="002E5DFD">
        <w:rPr>
          <w:rStyle w:val="FootnoteReference"/>
        </w:rPr>
        <w:footnoteReference w:id="2"/>
      </w:r>
      <w:r w:rsidRPr="002E5DFD">
        <w:t xml:space="preserve"> as delineated by Eversource during the LBR Working Group meetings.</w:t>
      </w:r>
      <w:r w:rsidRPr="002E5DFD">
        <w:rPr>
          <w:rStyle w:val="FootnoteReference"/>
        </w:rPr>
        <w:footnoteReference w:id="3"/>
      </w:r>
      <w:r w:rsidRPr="002E5DFD">
        <w:t xml:space="preserve">  The customer peak values reflect the Rate GV Class supply curves provided by Eversource during the Working Group meetings.</w:t>
      </w:r>
      <w:r w:rsidRPr="002E5DFD">
        <w:rPr>
          <w:rStyle w:val="FootnoteReference"/>
        </w:rPr>
        <w:footnoteReference w:id="4"/>
      </w:r>
      <w:r w:rsidRPr="002E5DFD">
        <w:t xml:space="preserve">  </w:t>
      </w:r>
      <w:r w:rsidR="00C46F2B" w:rsidRPr="002E5DFD">
        <w:t>See Section IV B for further explanation.</w:t>
      </w:r>
      <w:r w:rsidRPr="002E5DFD">
        <w:t xml:space="preserve">   </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7, Customer Peak kW Reduction:</w:t>
      </w:r>
      <w:r w:rsidRPr="002E5DFD">
        <w:t xml:space="preserve">  This value is the product of “Line 5, Extended Maximum Load Reduction kW” multiplied by the “Line 6, % kW Demand Reduction Expected to Occur at Customer Peak”.</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8, % Net to Gross:</w:t>
      </w:r>
      <w:r w:rsidRPr="002E5DFD">
        <w:t xml:space="preserve">  This value represents an adjustment to energy efficiency savings to reflect free-ridership and spillover.</w:t>
      </w:r>
      <w:r w:rsidRPr="002E5DFD">
        <w:rPr>
          <w:rStyle w:val="FootnoteReference"/>
        </w:rPr>
        <w:footnoteReference w:id="5"/>
      </w:r>
      <w:r w:rsidRPr="002E5DFD">
        <w:t xml:space="preserve">  Due to the cost of EM&amp;V studies, the Commission has preferred to spend limited funds on programs, rather than on studies to estimate adjustments for free-ridership and spillover.  Thus, there is no impact for free-ridership and spillover incorporated in the Template.</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 xml:space="preserve"> Line 10, % In-Service Rate:</w:t>
      </w:r>
      <w:r w:rsidRPr="002E5DFD">
        <w:t xml:space="preserve">  </w:t>
      </w:r>
      <w:r w:rsidR="00B958AE">
        <w:t>The in-service rate only accounts for whether equipment is in place and functional.  That is, the in-service rate is the percentage of measures, incented by an energy efficiency program, that EM&amp;V studies estimate to be installed and capable of operating.  The in-service rate is calculated by dividing the evaluation’s quantity of measures installed by the quantity of measures that are present in the utilities’ project files.</w:t>
      </w:r>
      <w:r w:rsidRPr="002E5DFD">
        <w:rPr>
          <w:rStyle w:val="FootnoteReference"/>
        </w:rPr>
        <w:footnoteReference w:id="6"/>
      </w:r>
      <w:r w:rsidRPr="002E5DFD">
        <w:t xml:space="preserve">     </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 xml:space="preserve">Line 12, % kW Realization Rate:  </w:t>
      </w:r>
      <w:r w:rsidRPr="002E5DFD">
        <w:t xml:space="preserve">The ratio of evaluated savings to claimed savings.  Evaluated savings are savings identified by EM&amp;V Studies.  Clamed savings generally </w:t>
      </w:r>
      <w:r w:rsidR="00FB07A3">
        <w:t>reflect project-specific calculations or deemed savings values, which are based on prior EM&amp;V studies, engineering analyses, and equipment specifications.</w:t>
      </w:r>
      <w:r w:rsidRPr="002E5DFD">
        <w:rPr>
          <w:rStyle w:val="FootnoteReference"/>
        </w:rPr>
        <w:footnoteReference w:id="7"/>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14, Billing Adjustment to Reflect Ratchets</w:t>
      </w:r>
      <w:r w:rsidRPr="002E5DFD">
        <w:t xml:space="preserve">:  A ratchet is a </w:t>
      </w:r>
      <w:r w:rsidR="003C3478">
        <w:t>rate structure meant to increase revenue certainty from a particular set of customers that are more likely to have volatile consumption, with the intended outcome of lessening the potential burden on all other customers.</w:t>
      </w:r>
      <w:r w:rsidRPr="002E5DFD">
        <w:t xml:space="preserve">  For instance, according to Eversource,</w:t>
      </w:r>
      <w:r w:rsidR="00C57E42" w:rsidRPr="002E5DFD" w:rsidDel="00C57E42">
        <w:t xml:space="preserve"> </w:t>
      </w:r>
      <w:r w:rsidR="00C57E42">
        <w:t>t</w:t>
      </w:r>
      <w:r w:rsidRPr="002E5DFD">
        <w:t xml:space="preserve">here are three optional levels of demand; and, the maximum level determines the billing demand (ref. </w:t>
      </w:r>
      <w:hyperlink r:id="rId11" w:history="1">
        <w:r w:rsidRPr="002E5DFD">
          <w:rPr>
            <w:rStyle w:val="Hyperlink"/>
          </w:rPr>
          <w:t>Eversource Tariff</w:t>
        </w:r>
      </w:hyperlink>
      <w:r w:rsidRPr="002E5DFD">
        <w:t>, 5</w:t>
      </w:r>
      <w:r w:rsidRPr="002E5DFD">
        <w:rPr>
          <w:vertAlign w:val="superscript"/>
        </w:rPr>
        <w:t>th</w:t>
      </w:r>
      <w:r w:rsidRPr="002E5DFD">
        <w:t xml:space="preserve"> revised page 67, section entitled </w:t>
      </w:r>
      <w:r w:rsidRPr="002E5DFD">
        <w:rPr>
          <w:i/>
        </w:rPr>
        <w:t>Maximum Demand</w:t>
      </w:r>
      <w:r w:rsidRPr="002E5DFD">
        <w:t>.</w:t>
      </w:r>
      <w:r w:rsidR="00C57E42">
        <w:t>)</w:t>
      </w:r>
      <w:r w:rsidRPr="002E5DFD">
        <w:t xml:space="preserve">  Paraphrasing this tariff, the ratchet demand is the third option and it is eighty percent (80%) of the amount by which the greatest amount defined in the </w:t>
      </w:r>
      <w:r w:rsidR="001E330C">
        <w:t>two</w:t>
      </w:r>
      <w:r w:rsidR="001E330C" w:rsidRPr="002E5DFD">
        <w:t xml:space="preserve"> options</w:t>
      </w:r>
      <w:r w:rsidRPr="002E5DFD">
        <w:t xml:space="preserve"> during the eleven (11) preceding months exceeds 1,000 kilovolt-amperes is used for billing purposes.</w:t>
      </w:r>
      <w:r w:rsidRPr="002E5DFD">
        <w:rPr>
          <w:rStyle w:val="FootnoteReference"/>
        </w:rPr>
        <w:footnoteReference w:id="8"/>
      </w:r>
      <w:r w:rsidRPr="002E5DFD">
        <w:t xml:space="preserve">  According to Eversource, this ratchet demand is rarely used for billing demand; and, </w:t>
      </w:r>
      <w:r w:rsidR="00C57E42">
        <w:t xml:space="preserve">Eversource </w:t>
      </w:r>
      <w:r w:rsidRPr="002E5DFD">
        <w:t xml:space="preserve"> considers it immaterial.  </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16, Retirement Adjustment:</w:t>
      </w:r>
      <w:r w:rsidRPr="002E5DFD">
        <w:t xml:space="preserve">  This adjustment removes from the calculation kW associated with measures that have expired.    The adjustment is expressed in terms of a percentage.   The 100 percent in the Template indicates that 100 percent of the measures are still in service.</w:t>
      </w:r>
    </w:p>
    <w:p w:rsidR="00466D19" w:rsidRPr="002E5DFD" w:rsidRDefault="00466D19" w:rsidP="00466D19">
      <w:pPr>
        <w:spacing w:after="0" w:line="240" w:lineRule="auto"/>
      </w:pPr>
    </w:p>
    <w:p w:rsidR="00466D19" w:rsidRPr="002E5DFD" w:rsidRDefault="00466D19" w:rsidP="00466D19">
      <w:pPr>
        <w:spacing w:after="0" w:line="240" w:lineRule="auto"/>
      </w:pPr>
      <w:r w:rsidRPr="002E5DFD">
        <w:rPr>
          <w:b/>
        </w:rPr>
        <w:t>Line 18, Percent of annual Savings Achieved in First Year</w:t>
      </w:r>
      <w:r w:rsidRPr="002E5DFD">
        <w:t xml:space="preserve">:  This represents the half-year convention.  In other words, for planning purposes, the annualized target kWh energy and kW demand savings for program year 2019 are assumed to be installed 50 percent in the first year (2019) and </w:t>
      </w:r>
      <w:r w:rsidR="00263FBA">
        <w:t>100 percent</w:t>
      </w:r>
      <w:r w:rsidRPr="002E5DFD">
        <w:t xml:space="preserve"> in the second year (2020).  Note, that for actual reporting purposes, actual savings will be incorporated in the final report for program year 2019.</w:t>
      </w:r>
    </w:p>
    <w:p w:rsidR="00466D19" w:rsidRPr="002E5DFD" w:rsidRDefault="00466D19" w:rsidP="00466D19">
      <w:pPr>
        <w:spacing w:after="0" w:line="240" w:lineRule="auto"/>
      </w:pPr>
    </w:p>
    <w:p w:rsidR="00466D19" w:rsidRPr="002E5DFD" w:rsidRDefault="00466D19" w:rsidP="00EA4EE8">
      <w:pPr>
        <w:spacing w:after="0" w:line="240" w:lineRule="auto"/>
      </w:pPr>
      <w:r w:rsidRPr="002E5DFD">
        <w:rPr>
          <w:b/>
        </w:rPr>
        <w:t xml:space="preserve">Line 20, </w:t>
      </w:r>
      <w:r w:rsidR="00200926">
        <w:rPr>
          <w:b/>
        </w:rPr>
        <w:t xml:space="preserve">Lost Base Revenue </w:t>
      </w:r>
      <w:r w:rsidRPr="002E5DFD">
        <w:rPr>
          <w:b/>
        </w:rPr>
        <w:t>Average Distribution Rate (</w:t>
      </w:r>
      <w:r w:rsidR="00200926">
        <w:rPr>
          <w:b/>
        </w:rPr>
        <w:t xml:space="preserve">LBR </w:t>
      </w:r>
      <w:r w:rsidRPr="002E5DFD">
        <w:rPr>
          <w:b/>
        </w:rPr>
        <w:t>ADR) per kW:</w:t>
      </w:r>
      <w:r w:rsidRPr="002E5DFD">
        <w:t xml:space="preserve">  Effective for program year 2019, </w:t>
      </w:r>
      <w:r w:rsidR="00C53CE2">
        <w:t>t</w:t>
      </w:r>
      <w:r w:rsidRPr="002E5DFD">
        <w:t xml:space="preserve">he average distribution rate is equal to the distribution revenue of a utility (e.g., revenues from kWh and/or kW rates) divided by consumption (e.g., kWh and/or kW consumption). </w:t>
      </w:r>
      <w:r w:rsidR="00200926">
        <w:t xml:space="preserve">The Utilities have excluded certain charges, such as the customer, meter, and luminaire charges, prior to performing this calculation to reach the </w:t>
      </w:r>
      <w:r w:rsidR="00BC3844">
        <w:t>A</w:t>
      </w:r>
      <w:r w:rsidR="00200926">
        <w:t xml:space="preserve">DR for LBR purposes.  The utilities believe the appropriate term is the “LBR ADR”, as this modified rate is used solely for the purpose of calculating LBR.    </w:t>
      </w:r>
      <w:r w:rsidRPr="002E5DFD">
        <w:t xml:space="preserve">    </w:t>
      </w:r>
    </w:p>
    <w:p w:rsidR="00EB454E" w:rsidRPr="002E5DFD" w:rsidRDefault="00EB454E" w:rsidP="00EA4EE8">
      <w:pPr>
        <w:pStyle w:val="Heading1"/>
        <w:numPr>
          <w:ilvl w:val="0"/>
          <w:numId w:val="0"/>
        </w:numPr>
        <w:spacing w:before="0" w:line="240" w:lineRule="auto"/>
        <w:rPr>
          <w:rFonts w:ascii="Calibri" w:hAnsi="Calibri" w:cs="Calibri"/>
          <w:color w:val="auto"/>
          <w:sz w:val="28"/>
          <w:szCs w:val="28"/>
        </w:rPr>
      </w:pPr>
    </w:p>
    <w:p w:rsidR="00EB454E" w:rsidRPr="002E5DFD" w:rsidRDefault="00EB454E" w:rsidP="00EA4EE8">
      <w:pPr>
        <w:pStyle w:val="Heading1"/>
        <w:numPr>
          <w:ilvl w:val="0"/>
          <w:numId w:val="0"/>
        </w:numPr>
        <w:spacing w:before="0" w:line="240" w:lineRule="auto"/>
        <w:rPr>
          <w:rFonts w:ascii="Calibri" w:hAnsi="Calibri" w:cs="Calibri"/>
          <w:color w:val="auto"/>
        </w:rPr>
      </w:pPr>
      <w:r w:rsidRPr="002E5DFD">
        <w:rPr>
          <w:rFonts w:ascii="Calibri" w:hAnsi="Calibri" w:cs="Calibri"/>
          <w:color w:val="auto"/>
          <w:sz w:val="28"/>
          <w:szCs w:val="28"/>
        </w:rPr>
        <w:t>III.</w:t>
      </w:r>
      <w:r w:rsidRPr="002E5DFD">
        <w:rPr>
          <w:rFonts w:ascii="Calibri" w:hAnsi="Calibri" w:cs="Calibri"/>
          <w:color w:val="auto"/>
          <w:sz w:val="28"/>
          <w:szCs w:val="28"/>
        </w:rPr>
        <w:tab/>
        <w:t>Derivation of kWh Savings</w:t>
      </w:r>
    </w:p>
    <w:p w:rsidR="00EB454E" w:rsidRPr="002E5DFD" w:rsidRDefault="00EB454E" w:rsidP="00EA4EE8">
      <w:pPr>
        <w:spacing w:after="0" w:line="240" w:lineRule="auto"/>
        <w:rPr>
          <w:rFonts w:cs="Calibri"/>
        </w:rPr>
      </w:pPr>
    </w:p>
    <w:p w:rsidR="00EB454E" w:rsidRPr="002E5DFD" w:rsidRDefault="00EB454E" w:rsidP="00EA4EE8">
      <w:pPr>
        <w:spacing w:after="0" w:line="240" w:lineRule="auto"/>
        <w:rPr>
          <w:rFonts w:cs="Calibri"/>
        </w:rPr>
      </w:pPr>
      <w:r w:rsidRPr="002E5DFD">
        <w:rPr>
          <w:rFonts w:cs="Calibri"/>
        </w:rPr>
        <w:t>The utilities will continue to use the same method for calculating kWh savings that has been used for prior years’ LBR reporting and collections. Although the method for kWh calculations is not within the scope of the LBR Working Group,</w:t>
      </w:r>
      <w:r w:rsidRPr="002E5DFD">
        <w:rPr>
          <w:rStyle w:val="FootnoteReference"/>
          <w:rFonts w:cs="Calibri"/>
        </w:rPr>
        <w:footnoteReference w:id="9"/>
      </w:r>
      <w:r w:rsidRPr="002E5DFD">
        <w:rPr>
          <w:rFonts w:cs="Calibri"/>
        </w:rPr>
        <w:t xml:space="preserve"> the method is described below so that this document provides a complete accounting of LBR calculations and inputs. </w:t>
      </w:r>
    </w:p>
    <w:p w:rsidR="00EB454E" w:rsidRPr="002E5DFD" w:rsidRDefault="00EB454E" w:rsidP="00EB454E">
      <w:pPr>
        <w:spacing w:after="0" w:line="240" w:lineRule="auto"/>
        <w:rPr>
          <w:rFonts w:cs="Calibri"/>
        </w:rPr>
      </w:pPr>
      <w:r w:rsidRPr="002E5DFD">
        <w:rPr>
          <w:rFonts w:cs="Calibri"/>
        </w:rPr>
        <w:t xml:space="preserve">The following kWh calculation is applied for each measure type within the utilities’ C&amp;I and residential programs. </w:t>
      </w:r>
    </w:p>
    <w:p w:rsidR="00EB454E" w:rsidRPr="002E5DFD" w:rsidRDefault="00EB454E" w:rsidP="00EB454E">
      <w:pPr>
        <w:spacing w:after="0" w:line="240" w:lineRule="auto"/>
        <w:rPr>
          <w:rFonts w:cs="Calibri"/>
        </w:rPr>
      </w:pPr>
    </w:p>
    <w:p w:rsidR="00EB454E" w:rsidRPr="002E5DFD" w:rsidRDefault="00A90B75" w:rsidP="00EB454E">
      <w:pPr>
        <w:spacing w:after="0" w:line="240" w:lineRule="auto"/>
        <w:rPr>
          <w:rFonts w:eastAsia="Times New Roman" w:cs="Calibri"/>
        </w:rPr>
      </w:pPr>
      <m:oMath>
        <m:r>
          <w:rPr>
            <w:rFonts w:ascii="Cambria Math" w:hAnsi="Cambria Math"/>
          </w:rPr>
          <m:t>LBR kWh Savings=Gross kWh Savings* Net to Gross Percentage* In Service Rate*Realization Rate- Retirement Adjustment</m:t>
        </m:r>
      </m:oMath>
      <w:r w:rsidR="00EB454E" w:rsidRPr="002E5DFD">
        <w:rPr>
          <w:rFonts w:eastAsia="Times New Roman" w:cs="Calibri"/>
        </w:rPr>
        <w:t xml:space="preserve"> </w:t>
      </w:r>
    </w:p>
    <w:p w:rsidR="00EB454E" w:rsidRPr="002E5DFD" w:rsidRDefault="00EB454E" w:rsidP="00EB454E">
      <w:pPr>
        <w:spacing w:after="0" w:line="240" w:lineRule="auto"/>
        <w:rPr>
          <w:rFonts w:cs="Calibri"/>
        </w:rPr>
      </w:pPr>
    </w:p>
    <w:p w:rsidR="00EB454E" w:rsidRPr="002E5DFD" w:rsidRDefault="00EB454E" w:rsidP="00EB454E">
      <w:pPr>
        <w:spacing w:after="0" w:line="240" w:lineRule="auto"/>
        <w:rPr>
          <w:rFonts w:cs="Calibri"/>
          <w:color w:val="000000"/>
        </w:rPr>
      </w:pPr>
      <w:r w:rsidRPr="002E5DFD">
        <w:rPr>
          <w:rFonts w:cs="Calibri"/>
        </w:rPr>
        <w:t xml:space="preserve">The calculation is applied on a monthly basis, for the cumulative measures installed year-to-date. To account for the fact that measures are installed over the course of a month (not all on the first day of the month), the calculation </w:t>
      </w:r>
      <w:r w:rsidR="00263FBA">
        <w:rPr>
          <w:rFonts w:cs="Calibri"/>
        </w:rPr>
        <w:t>claims savings beginning in the month of the paid date – which is on average two months after measures are installed and generating savings.</w:t>
      </w:r>
      <w:r w:rsidRPr="002E5DFD">
        <w:rPr>
          <w:rFonts w:cs="Calibri"/>
        </w:rPr>
        <w:t>.</w:t>
      </w:r>
      <w:r w:rsidRPr="002E5DFD">
        <w:rPr>
          <w:rStyle w:val="FootnoteReference"/>
          <w:rFonts w:cs="Calibri"/>
        </w:rPr>
        <w:footnoteReference w:id="10"/>
      </w:r>
      <w:r w:rsidRPr="002E5DFD">
        <w:rPr>
          <w:rFonts w:cs="Calibri"/>
        </w:rPr>
        <w:t xml:space="preserve"> This helps to ensure the utilit</w:t>
      </w:r>
      <w:r w:rsidRPr="002E5DFD">
        <w:rPr>
          <w:rFonts w:cs="Calibri"/>
          <w:color w:val="000000"/>
        </w:rPr>
        <w:t>ies avoid overstating LBR. For LBR forecasts,</w:t>
      </w:r>
      <w:r w:rsidRPr="002E5DFD">
        <w:rPr>
          <w:rFonts w:cs="Calibri"/>
          <w:b/>
          <w:color w:val="000000"/>
        </w:rPr>
        <w:t xml:space="preserve"> </w:t>
      </w:r>
      <w:r w:rsidRPr="002E5DFD">
        <w:rPr>
          <w:rFonts w:cs="Calibri"/>
          <w:color w:val="000000"/>
        </w:rPr>
        <w:t>the utilities divide total annual planned kWh savings by 12 to determine the average monthly kWh savings. Each component of the calculation is described in detail in the following sub-sections.</w:t>
      </w:r>
    </w:p>
    <w:p w:rsidR="00EB454E" w:rsidRPr="002E5DFD" w:rsidRDefault="00EB454E" w:rsidP="00EB454E">
      <w:pPr>
        <w:spacing w:after="0" w:line="240" w:lineRule="auto"/>
        <w:rPr>
          <w:rFonts w:eastAsia="Times New Roman" w:cs="Calibri"/>
          <w:color w:val="000000"/>
        </w:rPr>
      </w:pPr>
    </w:p>
    <w:p w:rsidR="00EB454E" w:rsidRPr="002E5DFD" w:rsidRDefault="00EB454E" w:rsidP="002E5DFD">
      <w:pPr>
        <w:pStyle w:val="Heading2"/>
        <w:numPr>
          <w:ilvl w:val="0"/>
          <w:numId w:val="11"/>
        </w:numPr>
        <w:spacing w:before="0" w:line="240" w:lineRule="auto"/>
        <w:rPr>
          <w:rFonts w:ascii="Calibri" w:hAnsi="Calibri" w:cs="Calibri"/>
          <w:color w:val="000000"/>
        </w:rPr>
      </w:pPr>
      <w:r w:rsidRPr="002E5DFD">
        <w:rPr>
          <w:rFonts w:ascii="Calibri" w:hAnsi="Calibri" w:cs="Calibri"/>
          <w:color w:val="000000"/>
        </w:rPr>
        <w:t>Gross kWh Savings</w:t>
      </w:r>
    </w:p>
    <w:p w:rsidR="00EB454E" w:rsidRPr="002E5DFD" w:rsidRDefault="00EB454E" w:rsidP="00EB454E">
      <w:pPr>
        <w:spacing w:after="0" w:line="240" w:lineRule="auto"/>
        <w:rPr>
          <w:rFonts w:cs="Calibri"/>
          <w:color w:val="000000"/>
        </w:rPr>
      </w:pPr>
      <w:r w:rsidRPr="002E5DFD">
        <w:rPr>
          <w:rFonts w:cs="Calibri"/>
          <w:color w:val="000000"/>
        </w:rPr>
        <w:br/>
        <w:t>The gros</w:t>
      </w:r>
      <w:r w:rsidRPr="002E5DFD">
        <w:rPr>
          <w:rFonts w:cs="Calibri"/>
        </w:rPr>
        <w:t>s kWh savings for energy efficiency measures are determined on a project-specific basis at the time of project installation/implementation. The savings are currently determined by project engineers and implementation contractors based on equipment specifications and information on baseline conditio</w:t>
      </w:r>
      <w:r w:rsidRPr="002E5DFD">
        <w:rPr>
          <w:rFonts w:cs="Calibri"/>
          <w:color w:val="000000"/>
        </w:rPr>
        <w:t xml:space="preserve">ns at the project site, or they are deemed for measures with consistent and well-documented savings </w:t>
      </w:r>
      <w:r w:rsidRPr="002E5DFD">
        <w:rPr>
          <w:rFonts w:cs="Calibri"/>
          <w:color w:val="000000"/>
        </w:rPr>
        <w:tab/>
        <w:t xml:space="preserve">values. For an example of project-specific kWh savings calculations, see </w:t>
      </w:r>
      <w:r w:rsidR="00EA3D2C">
        <w:rPr>
          <w:rFonts w:cs="Calibri"/>
          <w:color w:val="000000"/>
        </w:rPr>
        <w:t>A</w:t>
      </w:r>
      <w:r w:rsidRPr="002E5DFD">
        <w:rPr>
          <w:rFonts w:cs="Calibri"/>
          <w:color w:val="000000"/>
        </w:rPr>
        <w:t>ppendix C.</w:t>
      </w:r>
    </w:p>
    <w:p w:rsidR="00EB454E" w:rsidRPr="002E5DFD" w:rsidRDefault="00EB454E" w:rsidP="00EB454E">
      <w:pPr>
        <w:pStyle w:val="Heading2"/>
        <w:numPr>
          <w:ilvl w:val="0"/>
          <w:numId w:val="0"/>
        </w:numPr>
        <w:ind w:firstLine="720"/>
        <w:rPr>
          <w:rFonts w:ascii="Calibri" w:hAnsi="Calibri" w:cs="Calibri"/>
          <w:color w:val="000000"/>
        </w:rPr>
      </w:pPr>
      <w:r w:rsidRPr="002E5DFD">
        <w:rPr>
          <w:rFonts w:ascii="Calibri" w:hAnsi="Calibri" w:cs="Calibri"/>
          <w:color w:val="000000"/>
        </w:rPr>
        <w:tab/>
      </w:r>
    </w:p>
    <w:p w:rsidR="00EB454E" w:rsidRPr="002E5DFD" w:rsidRDefault="00EB454E" w:rsidP="00EB454E">
      <w:pPr>
        <w:pStyle w:val="Heading2"/>
        <w:numPr>
          <w:ilvl w:val="0"/>
          <w:numId w:val="0"/>
        </w:numPr>
        <w:ind w:firstLine="720"/>
        <w:rPr>
          <w:rFonts w:ascii="Calibri" w:hAnsi="Calibri" w:cs="Calibri"/>
          <w:color w:val="000000"/>
        </w:rPr>
      </w:pPr>
      <w:r w:rsidRPr="002E5DFD">
        <w:rPr>
          <w:rFonts w:ascii="Calibri" w:hAnsi="Calibri" w:cs="Calibri"/>
          <w:color w:val="000000"/>
        </w:rPr>
        <w:t>B.</w:t>
      </w:r>
      <w:r w:rsidRPr="002E5DFD">
        <w:rPr>
          <w:rFonts w:ascii="Calibri" w:hAnsi="Calibri" w:cs="Calibri"/>
          <w:color w:val="000000"/>
        </w:rPr>
        <w:tab/>
        <w:t>Net to Gross Percentage – See description in Section IV below.</w:t>
      </w:r>
    </w:p>
    <w:p w:rsidR="00EB454E" w:rsidRPr="002E5DFD" w:rsidRDefault="00EB454E" w:rsidP="00EB454E">
      <w:pPr>
        <w:pStyle w:val="Heading2"/>
        <w:numPr>
          <w:ilvl w:val="0"/>
          <w:numId w:val="0"/>
        </w:numPr>
        <w:ind w:left="720"/>
        <w:rPr>
          <w:rFonts w:ascii="Calibri" w:hAnsi="Calibri" w:cs="Calibri"/>
          <w:color w:val="000000"/>
        </w:rPr>
      </w:pPr>
      <w:r w:rsidRPr="002E5DFD">
        <w:rPr>
          <w:rFonts w:ascii="Calibri" w:hAnsi="Calibri" w:cs="Calibri"/>
          <w:color w:val="000000"/>
        </w:rPr>
        <w:t>C.</w:t>
      </w:r>
      <w:r w:rsidRPr="002E5DFD">
        <w:rPr>
          <w:rFonts w:ascii="Calibri" w:hAnsi="Calibri" w:cs="Calibri"/>
          <w:color w:val="000000"/>
        </w:rPr>
        <w:tab/>
        <w:t>In Service Rate – See description in Section IV below.</w:t>
      </w:r>
    </w:p>
    <w:p w:rsidR="00EB454E" w:rsidRPr="002E5DFD" w:rsidRDefault="00EB454E" w:rsidP="00EB454E">
      <w:pPr>
        <w:pStyle w:val="Heading2"/>
        <w:numPr>
          <w:ilvl w:val="0"/>
          <w:numId w:val="0"/>
        </w:numPr>
        <w:ind w:firstLine="720"/>
        <w:rPr>
          <w:rFonts w:ascii="Calibri" w:hAnsi="Calibri" w:cs="Calibri"/>
          <w:color w:val="000000"/>
        </w:rPr>
      </w:pPr>
      <w:r w:rsidRPr="002E5DFD">
        <w:rPr>
          <w:rFonts w:ascii="Calibri" w:hAnsi="Calibri" w:cs="Calibri"/>
          <w:color w:val="000000"/>
        </w:rPr>
        <w:t>D.</w:t>
      </w:r>
      <w:r w:rsidRPr="002E5DFD">
        <w:rPr>
          <w:rFonts w:ascii="Calibri" w:hAnsi="Calibri" w:cs="Calibri"/>
          <w:color w:val="000000"/>
        </w:rPr>
        <w:tab/>
        <w:t>Realization Rate – See description in Section IV below.</w:t>
      </w:r>
    </w:p>
    <w:p w:rsidR="00EB454E" w:rsidRPr="002E5DFD" w:rsidRDefault="00EB454E" w:rsidP="00EB454E">
      <w:pPr>
        <w:pStyle w:val="Heading2"/>
        <w:numPr>
          <w:ilvl w:val="0"/>
          <w:numId w:val="0"/>
        </w:numPr>
        <w:spacing w:before="0" w:line="240" w:lineRule="auto"/>
        <w:ind w:firstLine="720"/>
        <w:rPr>
          <w:rFonts w:ascii="Calibri" w:hAnsi="Calibri" w:cs="Calibri"/>
          <w:color w:val="000000"/>
        </w:rPr>
      </w:pPr>
      <w:r w:rsidRPr="002E5DFD">
        <w:rPr>
          <w:rFonts w:ascii="Calibri" w:hAnsi="Calibri" w:cs="Calibri"/>
          <w:color w:val="000000"/>
        </w:rPr>
        <w:t>E.</w:t>
      </w:r>
      <w:r w:rsidRPr="002E5DFD">
        <w:rPr>
          <w:rFonts w:ascii="Calibri" w:hAnsi="Calibri" w:cs="Calibri"/>
          <w:color w:val="000000"/>
        </w:rPr>
        <w:tab/>
        <w:t>Retirement Adjustment – See description in Section IV below.</w:t>
      </w:r>
    </w:p>
    <w:p w:rsidR="00EB454E" w:rsidRPr="002E5DFD" w:rsidRDefault="00EB454E" w:rsidP="00EB454E">
      <w:pPr>
        <w:pStyle w:val="Heading2"/>
        <w:numPr>
          <w:ilvl w:val="0"/>
          <w:numId w:val="0"/>
        </w:numPr>
        <w:spacing w:before="0" w:line="240" w:lineRule="auto"/>
        <w:ind w:left="2520"/>
        <w:rPr>
          <w:rFonts w:ascii="Calibri" w:hAnsi="Calibri" w:cs="Calibri"/>
        </w:rPr>
      </w:pPr>
    </w:p>
    <w:p w:rsidR="00EB454E" w:rsidRPr="002E5DFD" w:rsidRDefault="00EB454E" w:rsidP="00EB454E">
      <w:pPr>
        <w:pStyle w:val="Heading1"/>
        <w:numPr>
          <w:ilvl w:val="0"/>
          <w:numId w:val="0"/>
        </w:numPr>
        <w:spacing w:before="0" w:line="240" w:lineRule="auto"/>
        <w:rPr>
          <w:rFonts w:ascii="Calibri" w:hAnsi="Calibri" w:cs="Calibri"/>
          <w:color w:val="auto"/>
          <w:sz w:val="28"/>
          <w:szCs w:val="28"/>
        </w:rPr>
      </w:pPr>
      <w:r w:rsidRPr="002E5DFD">
        <w:rPr>
          <w:rFonts w:ascii="Calibri" w:hAnsi="Calibri" w:cs="Calibri"/>
          <w:color w:val="auto"/>
          <w:sz w:val="28"/>
          <w:szCs w:val="28"/>
        </w:rPr>
        <w:t>IV.</w:t>
      </w:r>
      <w:r w:rsidRPr="002E5DFD">
        <w:rPr>
          <w:rFonts w:ascii="Calibri" w:hAnsi="Calibri" w:cs="Calibri"/>
          <w:color w:val="auto"/>
          <w:sz w:val="28"/>
          <w:szCs w:val="28"/>
        </w:rPr>
        <w:tab/>
        <w:t>Derivation of kW Savings for Commercial and Industrial Customers</w:t>
      </w:r>
    </w:p>
    <w:p w:rsidR="00EB454E" w:rsidRPr="002E5DFD" w:rsidRDefault="00EB454E" w:rsidP="00EB454E">
      <w:pPr>
        <w:spacing w:after="0" w:line="240" w:lineRule="auto"/>
        <w:rPr>
          <w:rFonts w:cs="Calibri"/>
        </w:rPr>
      </w:pPr>
    </w:p>
    <w:p w:rsidR="00EB454E" w:rsidRPr="002E5DFD" w:rsidRDefault="00EB454E" w:rsidP="00EB454E">
      <w:pPr>
        <w:spacing w:after="0" w:line="240" w:lineRule="auto"/>
        <w:rPr>
          <w:rFonts w:cs="Calibri"/>
        </w:rPr>
      </w:pPr>
      <w:r w:rsidRPr="002E5DFD">
        <w:rPr>
          <w:rFonts w:cs="Calibri"/>
        </w:rPr>
        <w:t xml:space="preserve">The calculations used to derive kW savings resulting from energy efficiency measures installed through the NHSaves programs are detailed below. The amount of kW savings resulting from any specific efficiency measure depends on how and when that measure is used. Therefore, kW savings vary significantly depending on the type of measure and the point in time for which savings are calculated. </w:t>
      </w:r>
    </w:p>
    <w:p w:rsidR="00EB454E" w:rsidRPr="002E5DFD" w:rsidRDefault="00EB454E" w:rsidP="00EB454E">
      <w:pPr>
        <w:rPr>
          <w:rFonts w:cs="Calibri"/>
        </w:rPr>
      </w:pPr>
      <w:r w:rsidRPr="002E5DFD">
        <w:rPr>
          <w:rFonts w:cs="Calibri"/>
        </w:rPr>
        <w:t xml:space="preserve">The LBR calculations were developed to identify the kW savings resulting from different efficiency measures </w:t>
      </w:r>
      <w:r w:rsidRPr="002E5DFD">
        <w:rPr>
          <w:rFonts w:cs="Calibri"/>
          <w:i/>
        </w:rPr>
        <w:t>at the time of customers’ monthly peak demand—</w:t>
      </w:r>
      <w:r w:rsidRPr="002E5DFD">
        <w:rPr>
          <w:rFonts w:cs="Calibri"/>
        </w:rPr>
        <w:t>i.e., the</w:t>
      </w:r>
      <w:r w:rsidRPr="002E5DFD">
        <w:rPr>
          <w:rFonts w:cs="Calibri"/>
          <w:i/>
        </w:rPr>
        <w:t xml:space="preserve"> </w:t>
      </w:r>
      <w:r w:rsidRPr="002E5DFD">
        <w:rPr>
          <w:rFonts w:cs="Calibri"/>
        </w:rPr>
        <w:t xml:space="preserve">demand used to determine customers’ monthly demand charges. The NH utilities’ demand charges and other components of their tariffs are available at </w:t>
      </w:r>
      <w:hyperlink r:id="rId12" w:history="1">
        <w:r w:rsidRPr="002E5DFD">
          <w:rPr>
            <w:rStyle w:val="Hyperlink"/>
            <w:rFonts w:cs="Calibri"/>
          </w:rPr>
          <w:t>https://www.puc.nh.gov/Regulatory/companies-regulated-tariffs.htm</w:t>
        </w:r>
      </w:hyperlink>
      <w:r w:rsidRPr="002E5DFD">
        <w:rPr>
          <w:rFonts w:cs="Calibri"/>
        </w:rPr>
        <w:t>.</w:t>
      </w:r>
    </w:p>
    <w:p w:rsidR="00EB454E" w:rsidRPr="002E5DFD" w:rsidRDefault="00EB454E" w:rsidP="00EB454E">
      <w:pPr>
        <w:spacing w:after="0" w:line="240" w:lineRule="auto"/>
        <w:rPr>
          <w:rFonts w:cs="Calibri"/>
        </w:rPr>
      </w:pPr>
      <w:r w:rsidRPr="002E5DFD">
        <w:rPr>
          <w:rFonts w:cs="Calibri"/>
        </w:rPr>
        <w:t xml:space="preserve">The following kW calculation is applied for each measure type within the utilities’ C&amp;I programs, as only these customers are currently assessed demand (kW) rates and therefore see bill reductions when they experience kW savings. </w:t>
      </w:r>
    </w:p>
    <w:p w:rsidR="00EB454E" w:rsidRPr="002E5DFD" w:rsidRDefault="00EB454E" w:rsidP="00EB454E">
      <w:pPr>
        <w:spacing w:after="0" w:line="240" w:lineRule="auto"/>
        <w:rPr>
          <w:rFonts w:cs="Calibri"/>
        </w:rPr>
      </w:pPr>
    </w:p>
    <w:p w:rsidR="00EB454E" w:rsidRPr="002E5DFD" w:rsidRDefault="00A90B75" w:rsidP="00EB454E">
      <w:pPr>
        <w:spacing w:after="0" w:line="240" w:lineRule="auto"/>
        <w:rPr>
          <w:rFonts w:eastAsia="Times New Roman" w:cs="Calibri"/>
        </w:rPr>
      </w:pPr>
      <m:oMath>
        <m:r>
          <w:rPr>
            <w:rFonts w:ascii="Cambria Math" w:hAnsi="Cambria Math"/>
          </w:rPr>
          <m:t>LBR kW Savings=Connected Load kW Savings*Customer Peak Coincident Factor* Net to Gross Percentage*In Serv</m:t>
        </m:r>
        <m:r>
          <w:rPr>
            <w:rFonts w:ascii="Cambria Math" w:hAnsi="Cambria Math"/>
          </w:rPr>
          <m:t>ice Rate*Realization Rate- Retirement Adjustment</m:t>
        </m:r>
      </m:oMath>
      <w:r w:rsidR="00EB454E" w:rsidRPr="002E5DFD">
        <w:rPr>
          <w:rFonts w:eastAsia="Times New Roman" w:cs="Calibri"/>
        </w:rPr>
        <w:t xml:space="preserve"> </w:t>
      </w:r>
    </w:p>
    <w:p w:rsidR="00EB454E" w:rsidRPr="002E5DFD" w:rsidRDefault="00EB454E" w:rsidP="00EB454E">
      <w:pPr>
        <w:spacing w:after="0" w:line="240" w:lineRule="auto"/>
        <w:rPr>
          <w:rFonts w:eastAsia="Times New Roman" w:cs="Calibri"/>
        </w:rPr>
      </w:pPr>
    </w:p>
    <w:p w:rsidR="00EB454E" w:rsidRPr="002E5DFD" w:rsidRDefault="00EB454E" w:rsidP="00EB454E">
      <w:pPr>
        <w:spacing w:after="0" w:line="240" w:lineRule="auto"/>
        <w:rPr>
          <w:rFonts w:cs="Calibri"/>
        </w:rPr>
      </w:pPr>
      <w:r w:rsidRPr="002E5DFD">
        <w:rPr>
          <w:rFonts w:cs="Calibri"/>
        </w:rPr>
        <w:t>The calculation is applied on a monthly basis, for the cumulative measures installed year-to-date. To account for the fact that measures are installed throughout a month (not all on the first of the month), the calculation claims savings beginning in the month of the paid date</w:t>
      </w:r>
      <w:r w:rsidRPr="002E5DFD">
        <w:rPr>
          <w:rFonts w:cs="Calibri"/>
          <w:i/>
        </w:rPr>
        <w:t>—</w:t>
      </w:r>
      <w:r w:rsidRPr="002E5DFD">
        <w:rPr>
          <w:rFonts w:cs="Calibri"/>
        </w:rPr>
        <w:t xml:space="preserve">which </w:t>
      </w:r>
      <w:r w:rsidR="00FB07A3">
        <w:rPr>
          <w:rFonts w:cs="Calibri"/>
        </w:rPr>
        <w:t xml:space="preserve">is on average </w:t>
      </w:r>
      <w:r w:rsidRPr="002E5DFD">
        <w:rPr>
          <w:rFonts w:cs="Calibri"/>
        </w:rPr>
        <w:t>two months (approximately) after measures are installed and generating savings.</w:t>
      </w:r>
      <w:r w:rsidRPr="002E5DFD">
        <w:rPr>
          <w:rStyle w:val="FootnoteReference"/>
          <w:rFonts w:cs="Calibri"/>
        </w:rPr>
        <w:footnoteReference w:id="11"/>
      </w:r>
      <w:r w:rsidRPr="002E5DFD">
        <w:rPr>
          <w:rFonts w:cs="Calibri"/>
        </w:rPr>
        <w:t xml:space="preserve"> This helps to ensure the utilities avoid overstating LBR. For LBR forecasts,</w:t>
      </w:r>
      <w:r w:rsidRPr="002E5DFD">
        <w:rPr>
          <w:rFonts w:cs="Calibri"/>
          <w:b/>
        </w:rPr>
        <w:t xml:space="preserve"> </w:t>
      </w:r>
      <w:r w:rsidRPr="002E5DFD">
        <w:rPr>
          <w:rFonts w:cs="Calibri"/>
        </w:rPr>
        <w:t xml:space="preserve">the utilities use the annual planned kWh savings and apply a maximum demand factor (see section A below) to determine planned kW savings. </w:t>
      </w:r>
    </w:p>
    <w:p w:rsidR="00EB454E" w:rsidRPr="002E5DFD" w:rsidRDefault="00EB454E" w:rsidP="00EB454E">
      <w:pPr>
        <w:spacing w:after="0" w:line="240" w:lineRule="auto"/>
        <w:rPr>
          <w:rFonts w:cs="Calibri"/>
        </w:rPr>
      </w:pPr>
      <w:r w:rsidRPr="002E5DFD">
        <w:rPr>
          <w:rFonts w:cs="Calibri"/>
        </w:rPr>
        <w:t xml:space="preserve">Each component of the calculation is described in detail in the following sub-sections, and a template with the calculations for the programs’ 2019 and 2020 planned installations is provided in </w:t>
      </w:r>
      <w:r w:rsidR="00EA3D2C">
        <w:rPr>
          <w:rFonts w:cs="Calibri"/>
        </w:rPr>
        <w:t>A</w:t>
      </w:r>
      <w:r w:rsidRPr="002E5DFD">
        <w:rPr>
          <w:rFonts w:cs="Calibri"/>
        </w:rPr>
        <w:t xml:space="preserve">ppendix </w:t>
      </w:r>
      <w:r w:rsidR="007F7B9F">
        <w:rPr>
          <w:rFonts w:cs="Calibri"/>
        </w:rPr>
        <w:t>A</w:t>
      </w:r>
      <w:r w:rsidRPr="002E5DFD">
        <w:rPr>
          <w:rFonts w:cs="Calibri"/>
        </w:rPr>
        <w:t>.</w:t>
      </w:r>
    </w:p>
    <w:p w:rsidR="00EB454E" w:rsidRPr="002E5DFD" w:rsidRDefault="00EB454E" w:rsidP="00EB454E">
      <w:pPr>
        <w:spacing w:after="0" w:line="240" w:lineRule="auto"/>
        <w:rPr>
          <w:rFonts w:cs="Calibri"/>
        </w:rPr>
      </w:pPr>
      <w:r w:rsidRPr="002E5DFD">
        <w:rPr>
          <w:rFonts w:cs="Calibri"/>
        </w:rPr>
        <w:t xml:space="preserve"> </w:t>
      </w:r>
    </w:p>
    <w:p w:rsidR="00EB454E" w:rsidRPr="002E5DFD" w:rsidRDefault="00EB454E" w:rsidP="002E5DFD">
      <w:pPr>
        <w:pStyle w:val="Heading2"/>
        <w:numPr>
          <w:ilvl w:val="0"/>
          <w:numId w:val="10"/>
        </w:numPr>
        <w:spacing w:before="0" w:line="240" w:lineRule="auto"/>
        <w:rPr>
          <w:rFonts w:ascii="Calibri" w:hAnsi="Calibri" w:cs="Calibri"/>
          <w:color w:val="000000"/>
        </w:rPr>
      </w:pPr>
      <w:r w:rsidRPr="002E5DFD">
        <w:rPr>
          <w:rFonts w:ascii="Calibri" w:hAnsi="Calibri" w:cs="Calibri"/>
          <w:color w:val="000000"/>
        </w:rPr>
        <w:t xml:space="preserve">Connected load savings (kW) </w:t>
      </w:r>
    </w:p>
    <w:p w:rsidR="00EB454E" w:rsidRPr="002E5DFD" w:rsidRDefault="00EB454E" w:rsidP="00EA4EE8">
      <w:pPr>
        <w:spacing w:after="0" w:line="240" w:lineRule="auto"/>
        <w:rPr>
          <w:rFonts w:cs="Calibri"/>
        </w:rPr>
      </w:pPr>
      <w:r w:rsidRPr="002E5DFD">
        <w:rPr>
          <w:rFonts w:cs="Calibri"/>
        </w:rPr>
        <w:br/>
        <w:t xml:space="preserve">The connected load savings for energy efficiency measures are determined on a project-specific basis at the time of project installation/implementation. The savings are currently determined by project engineers and implementation contractors based on equipment specifications and information on baseline conditions at the project site, or they are deemed for measures with consistent and well-documented savings values. </w:t>
      </w:r>
      <w:r w:rsidR="001E330C" w:rsidRPr="002E5DFD">
        <w:rPr>
          <w:rFonts w:cs="Calibri"/>
        </w:rPr>
        <w:t xml:space="preserve">For an example of project specific kW savings calculations, </w:t>
      </w:r>
      <w:r w:rsidR="001E330C">
        <w:rPr>
          <w:rFonts w:cs="Calibri"/>
        </w:rPr>
        <w:t>s</w:t>
      </w:r>
      <w:r w:rsidR="001E330C" w:rsidRPr="002E5DFD">
        <w:rPr>
          <w:rFonts w:cs="Calibri"/>
        </w:rPr>
        <w:t xml:space="preserve">ee </w:t>
      </w:r>
      <w:r w:rsidR="001E330C">
        <w:rPr>
          <w:rFonts w:cs="Calibri"/>
        </w:rPr>
        <w:t>A</w:t>
      </w:r>
      <w:r w:rsidR="001E330C" w:rsidRPr="002E5DFD">
        <w:rPr>
          <w:rFonts w:cs="Calibri"/>
        </w:rPr>
        <w:t xml:space="preserve">ppendix A. </w:t>
      </w:r>
      <w:r w:rsidRPr="002E5DFD">
        <w:rPr>
          <w:rFonts w:cs="Calibri"/>
        </w:rPr>
        <w:t xml:space="preserve">In addition, the connected load savings for measures such as occupancy sensors or wi-fi thermostats reflect that their savings are driven by reduced run-time or reduced hours of use, rather than reductions in connected load. As a result, the connected load savings for such measures are typically very small. </w:t>
      </w:r>
    </w:p>
    <w:p w:rsidR="00C46F2B" w:rsidRPr="002E5DFD" w:rsidRDefault="00C46F2B" w:rsidP="00EA4EE8">
      <w:pPr>
        <w:spacing w:after="0" w:line="240" w:lineRule="auto"/>
        <w:rPr>
          <w:rFonts w:cs="Calibri"/>
          <w:b/>
        </w:rPr>
      </w:pPr>
    </w:p>
    <w:p w:rsidR="00EB454E" w:rsidRPr="002E5DFD" w:rsidRDefault="00EB454E" w:rsidP="00EA4EE8">
      <w:pPr>
        <w:spacing w:after="0" w:line="240" w:lineRule="auto"/>
        <w:rPr>
          <w:rFonts w:cs="Calibri"/>
        </w:rPr>
      </w:pPr>
      <w:r w:rsidRPr="002E5DFD">
        <w:rPr>
          <w:rFonts w:cs="Calibri"/>
          <w:b/>
        </w:rPr>
        <w:t xml:space="preserve">Planning assumptions: </w:t>
      </w:r>
      <w:r w:rsidRPr="002E5DFD">
        <w:rPr>
          <w:rFonts w:cs="Calibri"/>
        </w:rPr>
        <w:t>The</w:t>
      </w:r>
      <w:r w:rsidRPr="002E5DFD">
        <w:rPr>
          <w:rFonts w:cs="Calibri"/>
          <w:b/>
        </w:rPr>
        <w:t xml:space="preserve"> </w:t>
      </w:r>
      <w:r w:rsidRPr="002E5DFD">
        <w:rPr>
          <w:rFonts w:cs="Calibri"/>
        </w:rPr>
        <w:t xml:space="preserve">project specific kW savings calculations, such as those shown in </w:t>
      </w:r>
      <w:r w:rsidR="00E40181">
        <w:rPr>
          <w:rFonts w:cs="Calibri"/>
        </w:rPr>
        <w:t>A</w:t>
      </w:r>
      <w:r w:rsidRPr="002E5DFD">
        <w:rPr>
          <w:rFonts w:cs="Calibri"/>
        </w:rPr>
        <w:t xml:space="preserve">ppendix C, are used to determine </w:t>
      </w:r>
      <w:r w:rsidRPr="002E5DFD">
        <w:rPr>
          <w:rFonts w:cs="Calibri"/>
          <w:i/>
        </w:rPr>
        <w:t>actual</w:t>
      </w:r>
      <w:r w:rsidRPr="002E5DFD">
        <w:rPr>
          <w:rFonts w:cs="Calibri"/>
        </w:rPr>
        <w:t xml:space="preserve"> kW savings and lost revenues, but for </w:t>
      </w:r>
      <w:r w:rsidRPr="002E5DFD">
        <w:rPr>
          <w:rFonts w:cs="Calibri"/>
          <w:i/>
        </w:rPr>
        <w:t xml:space="preserve">forecasted </w:t>
      </w:r>
      <w:r w:rsidRPr="002E5DFD">
        <w:rPr>
          <w:rFonts w:cs="Calibri"/>
        </w:rPr>
        <w:t>kW savings</w:t>
      </w:r>
      <w:r w:rsidRPr="002E5DFD">
        <w:rPr>
          <w:rFonts w:cs="Calibri"/>
          <w:i/>
        </w:rPr>
        <w:t xml:space="preserve">, </w:t>
      </w:r>
      <w:r w:rsidRPr="002E5DFD">
        <w:rPr>
          <w:rFonts w:cs="Calibri"/>
        </w:rPr>
        <w:t>the utilities use several assumptions in the planning model to arrive at planned connected load savings for measures installed each year, by program and measure type (lighting, heating, cooling, etc.). These include:</w:t>
      </w:r>
    </w:p>
    <w:p w:rsidR="00EB454E" w:rsidRPr="002E5DFD" w:rsidRDefault="00EB454E" w:rsidP="002E5DFD">
      <w:pPr>
        <w:pStyle w:val="ListParagraph"/>
        <w:numPr>
          <w:ilvl w:val="0"/>
          <w:numId w:val="2"/>
        </w:numPr>
        <w:rPr>
          <w:rFonts w:cs="Calibri"/>
          <w:b/>
        </w:rPr>
      </w:pPr>
      <w:r w:rsidRPr="002E5DFD">
        <w:rPr>
          <w:rFonts w:cs="Calibri"/>
          <w:b/>
        </w:rPr>
        <w:t xml:space="preserve">Measure quantities. </w:t>
      </w:r>
      <w:r w:rsidRPr="002E5DFD">
        <w:rPr>
          <w:rFonts w:cs="Calibri"/>
        </w:rPr>
        <w:t>Planned quantities for each measure type, based on prior years’ actual measures installed.</w:t>
      </w:r>
    </w:p>
    <w:p w:rsidR="00EB454E" w:rsidRPr="002E5DFD" w:rsidRDefault="00EB454E" w:rsidP="002E5DFD">
      <w:pPr>
        <w:pStyle w:val="ListParagraph"/>
        <w:numPr>
          <w:ilvl w:val="0"/>
          <w:numId w:val="2"/>
        </w:numPr>
        <w:rPr>
          <w:rFonts w:cs="Calibri"/>
          <w:b/>
        </w:rPr>
      </w:pPr>
      <w:r w:rsidRPr="002E5DFD">
        <w:rPr>
          <w:rFonts w:cs="Calibri"/>
          <w:b/>
        </w:rPr>
        <w:t xml:space="preserve">Gross annual kWh savings per unit. </w:t>
      </w:r>
      <w:r w:rsidRPr="002E5DFD">
        <w:rPr>
          <w:rFonts w:cs="Calibri"/>
        </w:rPr>
        <w:t>Planned savings per unit, based on actual savings per unit from prior years’ installed measures.</w:t>
      </w:r>
    </w:p>
    <w:p w:rsidR="00EB454E" w:rsidRPr="002E5DFD" w:rsidRDefault="00EB454E" w:rsidP="002E5DFD">
      <w:pPr>
        <w:pStyle w:val="ListParagraph"/>
        <w:numPr>
          <w:ilvl w:val="0"/>
          <w:numId w:val="2"/>
        </w:numPr>
        <w:rPr>
          <w:rFonts w:cs="Calibri"/>
          <w:b/>
        </w:rPr>
      </w:pPr>
      <w:r w:rsidRPr="002E5DFD">
        <w:rPr>
          <w:rFonts w:cs="Calibri"/>
          <w:b/>
        </w:rPr>
        <w:t xml:space="preserve">Maximum demand factor. </w:t>
      </w:r>
      <w:r w:rsidRPr="002E5DFD">
        <w:rPr>
          <w:rFonts w:cs="Calibri"/>
        </w:rPr>
        <w:t>Ratio of kW to kWh, based on the ratio of kW to kWh savings for prior years’ projects</w:t>
      </w:r>
      <w:r w:rsidRPr="002E5DFD">
        <w:rPr>
          <w:rStyle w:val="FootnoteReference"/>
          <w:rFonts w:cs="Calibri"/>
        </w:rPr>
        <w:footnoteReference w:id="12"/>
      </w:r>
    </w:p>
    <w:p w:rsidR="00EB454E" w:rsidRPr="002E5DFD" w:rsidRDefault="00EB454E" w:rsidP="002E5DFD">
      <w:pPr>
        <w:pStyle w:val="ListParagraph"/>
        <w:numPr>
          <w:ilvl w:val="0"/>
          <w:numId w:val="2"/>
        </w:numPr>
        <w:rPr>
          <w:rFonts w:cs="Calibri"/>
        </w:rPr>
      </w:pPr>
      <w:r w:rsidRPr="002E5DFD">
        <w:rPr>
          <w:rFonts w:cs="Calibri"/>
          <w:b/>
        </w:rPr>
        <w:t>Maximum load reduction kW.</w:t>
      </w:r>
      <w:r w:rsidRPr="002E5DFD">
        <w:rPr>
          <w:rFonts w:cs="Calibri"/>
        </w:rPr>
        <w:t xml:space="preserve"> Equal to the product of gross annual kWh savings per unit and the maximum demand factor.</w:t>
      </w:r>
    </w:p>
    <w:p w:rsidR="00EB454E" w:rsidRPr="002E5DFD" w:rsidRDefault="00EB454E" w:rsidP="00EA4EE8">
      <w:pPr>
        <w:pStyle w:val="ListParagraph"/>
        <w:numPr>
          <w:ilvl w:val="0"/>
          <w:numId w:val="2"/>
        </w:numPr>
        <w:spacing w:after="0" w:line="240" w:lineRule="auto"/>
        <w:rPr>
          <w:rFonts w:cs="Calibri"/>
          <w:b/>
        </w:rPr>
      </w:pPr>
      <w:r w:rsidRPr="002E5DFD">
        <w:rPr>
          <w:rFonts w:cs="Calibri"/>
          <w:b/>
        </w:rPr>
        <w:t xml:space="preserve">% of Annual Savings Achieved in First Year. </w:t>
      </w:r>
      <w:r w:rsidRPr="002E5DFD">
        <w:rPr>
          <w:rFonts w:cs="Calibri"/>
        </w:rPr>
        <w:t>The utilities apply a 50% factor to reflect an average installation date of halfway through the year. On average, measures installed in 2019 will achieve half of their full annual savings in 2019, and 100% of their annual savings in subsequent years until their retirement.</w:t>
      </w:r>
    </w:p>
    <w:p w:rsidR="00EB454E" w:rsidRPr="002E5DFD" w:rsidRDefault="00EB454E" w:rsidP="00EA4EE8">
      <w:pPr>
        <w:spacing w:after="0" w:line="240" w:lineRule="auto"/>
        <w:rPr>
          <w:rFonts w:cs="Calibri"/>
        </w:rPr>
      </w:pPr>
      <w:r w:rsidRPr="002E5DFD">
        <w:rPr>
          <w:rFonts w:cs="Calibri"/>
        </w:rPr>
        <w:t xml:space="preserve">These assumptions and values are included in the template in </w:t>
      </w:r>
      <w:r w:rsidR="00200926">
        <w:rPr>
          <w:rFonts w:cs="Calibri"/>
        </w:rPr>
        <w:t>A</w:t>
      </w:r>
      <w:r w:rsidRPr="002E5DFD">
        <w:rPr>
          <w:rFonts w:cs="Calibri"/>
        </w:rPr>
        <w:t>ppendix A.</w:t>
      </w:r>
    </w:p>
    <w:p w:rsidR="00EB454E" w:rsidRPr="002E5DFD" w:rsidRDefault="00EB454E" w:rsidP="00EA4EE8">
      <w:pPr>
        <w:spacing w:after="0" w:line="240" w:lineRule="auto"/>
        <w:rPr>
          <w:rFonts w:cs="Calibri"/>
        </w:rPr>
      </w:pPr>
    </w:p>
    <w:p w:rsidR="00EB454E" w:rsidRPr="002E5DFD" w:rsidRDefault="00EB454E" w:rsidP="00EA4EE8">
      <w:pPr>
        <w:pStyle w:val="Heading2"/>
        <w:numPr>
          <w:ilvl w:val="0"/>
          <w:numId w:val="10"/>
        </w:numPr>
        <w:spacing w:before="0" w:line="240" w:lineRule="auto"/>
        <w:rPr>
          <w:rFonts w:ascii="Calibri" w:hAnsi="Calibri" w:cs="Calibri"/>
          <w:color w:val="000000"/>
        </w:rPr>
      </w:pPr>
      <w:r w:rsidRPr="002E5DFD">
        <w:rPr>
          <w:rFonts w:ascii="Calibri" w:hAnsi="Calibri" w:cs="Calibri"/>
          <w:color w:val="000000"/>
        </w:rPr>
        <w:t>Customer peak coincident factor (CF)</w:t>
      </w:r>
      <w:r w:rsidRPr="002E5DFD">
        <w:rPr>
          <w:rFonts w:ascii="Calibri" w:hAnsi="Calibri" w:cs="Calibri"/>
          <w:color w:val="000000"/>
        </w:rPr>
        <w:br/>
      </w:r>
    </w:p>
    <w:p w:rsidR="00EB454E" w:rsidRPr="002E5DFD" w:rsidRDefault="00EB454E" w:rsidP="00EA4EE8">
      <w:pPr>
        <w:spacing w:after="0" w:line="240" w:lineRule="auto"/>
        <w:rPr>
          <w:rFonts w:cs="Calibri"/>
        </w:rPr>
      </w:pPr>
      <w:r w:rsidRPr="002E5DFD">
        <w:rPr>
          <w:rFonts w:cs="Calibri"/>
        </w:rPr>
        <w:t xml:space="preserve">The kW demand reduction at customer peak is derived by multiplying the connected load kW savings by a factor representing the coincidence of usage (i.e., “percent on”) for each measure type at the peak hour for average C&amp;I customers in Eversource’s service territory for each month of the year. </w:t>
      </w:r>
      <w:r w:rsidR="00200926">
        <w:rPr>
          <w:rFonts w:cs="Calibri"/>
        </w:rPr>
        <w:t xml:space="preserve"> </w:t>
      </w:r>
      <w:r w:rsidRPr="002E5DFD">
        <w:rPr>
          <w:rFonts w:cs="Calibri"/>
        </w:rPr>
        <w:t>Eversource NH Rate GV customers were chosen for determining average C&amp;I customers’ peak hour, because they are a large, varied group of C&amp;I customers over a similar geographic range as other utilities’ customers, and recent data were available on their hourly usage for each month.</w:t>
      </w:r>
      <w:r w:rsidRPr="002E5DFD">
        <w:rPr>
          <w:rStyle w:val="FootnoteReference"/>
          <w:rFonts w:cs="Calibri"/>
        </w:rPr>
        <w:footnoteReference w:id="13"/>
      </w:r>
      <w:r w:rsidRPr="002E5DFD">
        <w:rPr>
          <w:rFonts w:cs="Calibri"/>
        </w:rPr>
        <w:t xml:space="preserve"> </w:t>
      </w:r>
    </w:p>
    <w:p w:rsidR="00EB454E" w:rsidRPr="002E5DFD" w:rsidRDefault="00EB454E" w:rsidP="00EB454E">
      <w:pPr>
        <w:spacing w:after="0" w:line="240" w:lineRule="auto"/>
        <w:rPr>
          <w:rFonts w:cs="Calibri"/>
        </w:rPr>
      </w:pPr>
      <w:r w:rsidRPr="002E5DFD">
        <w:rPr>
          <w:rFonts w:cs="Calibri"/>
        </w:rPr>
        <w:t>Figure 1 below illustrates this concept, by combining (1) usage data for Eversource NH Rate GV customers and (2) end use load shape data from the most recent impact evaluation of the New Hampshire C&amp;I program, completed by DNV-GL in September 2015,</w:t>
      </w:r>
      <w:r w:rsidRPr="002E5DFD">
        <w:rPr>
          <w:rStyle w:val="FootnoteReference"/>
          <w:rFonts w:cs="Calibri"/>
        </w:rPr>
        <w:footnoteReference w:id="14"/>
      </w:r>
      <w:r w:rsidRPr="002E5DFD">
        <w:rPr>
          <w:rFonts w:cs="Calibri"/>
        </w:rPr>
        <w:t xml:space="preserve"> to identify the coincidence factor (CF) for a specific end use—in this case interior LED lighting—at the average customer’s peak hour in July. The figure shows an average Rate GV customer peak of 2:00 PM in July, at which time 81.9% of interior LED lighting is in use.  </w:t>
      </w:r>
    </w:p>
    <w:p w:rsidR="00EB454E" w:rsidRPr="002E5DFD" w:rsidRDefault="00EB454E" w:rsidP="00EB454E">
      <w:pPr>
        <w:spacing w:after="0" w:line="240" w:lineRule="auto"/>
        <w:rPr>
          <w:rFonts w:cs="Calibri"/>
        </w:rPr>
      </w:pPr>
      <w:r w:rsidRPr="002E5DFD">
        <w:rPr>
          <w:rFonts w:cs="Calibri"/>
        </w:rPr>
        <w:t xml:space="preserve"> </w:t>
      </w:r>
    </w:p>
    <w:p w:rsidR="00EB454E" w:rsidRPr="002E5DFD" w:rsidRDefault="00EB454E" w:rsidP="00EB454E">
      <w:pPr>
        <w:spacing w:after="0" w:line="240" w:lineRule="auto"/>
        <w:rPr>
          <w:rFonts w:cs="Calibri"/>
          <w:b/>
          <w:sz w:val="24"/>
        </w:rPr>
      </w:pPr>
      <w:r w:rsidRPr="002E5DFD">
        <w:rPr>
          <w:rFonts w:cs="Calibri"/>
          <w:b/>
          <w:sz w:val="24"/>
        </w:rPr>
        <w:t>Figure 1</w:t>
      </w:r>
      <w:r w:rsidR="002D0C45">
        <w:rPr>
          <w:rFonts w:cs="Calibri"/>
          <w:b/>
          <w:sz w:val="24"/>
        </w:rPr>
        <w:t>:</w:t>
      </w:r>
      <w:r w:rsidRPr="002E5DFD">
        <w:rPr>
          <w:rFonts w:cs="Calibri"/>
          <w:b/>
          <w:sz w:val="24"/>
        </w:rPr>
        <w:t xml:space="preserve"> Eversource NH Customer Load and Interior Lighting Coincidence Factor (CF) </w:t>
      </w:r>
      <w:r w:rsidR="00A90B75">
        <w:rPr>
          <w:rFonts w:cs="Calibri"/>
          <w:noProof/>
        </w:rPr>
        <w:drawing>
          <wp:inline distT="0" distB="0" distL="0" distR="0">
            <wp:extent cx="5829300" cy="3933825"/>
            <wp:effectExtent l="19050" t="19050" r="19050" b="285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9300" cy="3933825"/>
                    </a:xfrm>
                    <a:prstGeom prst="rect">
                      <a:avLst/>
                    </a:prstGeom>
                    <a:noFill/>
                    <a:ln w="9525" cmpd="sng" algn="ctr">
                      <a:solidFill>
                        <a:srgbClr val="BFBFBF"/>
                      </a:solidFill>
                      <a:miter lim="800000"/>
                      <a:headEnd/>
                      <a:tailEnd/>
                    </a:ln>
                    <a:effectLst/>
                  </pic:spPr>
                </pic:pic>
              </a:graphicData>
            </a:graphic>
          </wp:inline>
        </w:drawing>
      </w:r>
      <w:r w:rsidRPr="002E5DFD">
        <w:rPr>
          <w:rFonts w:cs="Calibri"/>
        </w:rPr>
        <w:br/>
      </w:r>
      <w:r w:rsidRPr="002E5DFD">
        <w:rPr>
          <w:rFonts w:cs="Calibri"/>
          <w:sz w:val="20"/>
        </w:rPr>
        <w:t xml:space="preserve">Source: Eversource NH average hourly kW demand by month and day-type, based on all Rate GV customers’ usage from September 2015 – August 2016. Downloaded from </w:t>
      </w:r>
      <w:bookmarkStart w:id="6" w:name="OLE_LINK3"/>
      <w:bookmarkStart w:id="7" w:name="OLE_LINK4"/>
      <w:r w:rsidRPr="002E5DFD">
        <w:rPr>
          <w:rFonts w:cs="Calibri"/>
        </w:rPr>
        <w:fldChar w:fldCharType="begin"/>
      </w:r>
      <w:r w:rsidRPr="002E5DFD">
        <w:rPr>
          <w:rFonts w:cs="Calibri"/>
        </w:rPr>
        <w:instrText>HYPERLINK "https://www.eversource.com/content/nh/about/about-us/doing-business-with-us/energy-supplier-information/electric---new-Hampshire"</w:instrText>
      </w:r>
      <w:r w:rsidRPr="002E5DFD">
        <w:rPr>
          <w:rFonts w:cs="Calibri"/>
        </w:rPr>
        <w:fldChar w:fldCharType="separate"/>
      </w:r>
      <w:r w:rsidRPr="002E5DFD">
        <w:rPr>
          <w:rStyle w:val="Hyperlink"/>
          <w:rFonts w:cs="Calibri"/>
          <w:sz w:val="20"/>
        </w:rPr>
        <w:t>https://www.eversource.com/content/nh/about/about-us/doing-business-with-us/energy-supplier-information/electric---new-Hampshire</w:t>
      </w:r>
      <w:r w:rsidRPr="002E5DFD">
        <w:rPr>
          <w:rFonts w:cs="Calibri"/>
        </w:rPr>
        <w:fldChar w:fldCharType="end"/>
      </w:r>
      <w:r w:rsidRPr="002E5DFD">
        <w:rPr>
          <w:rFonts w:cs="Calibri"/>
          <w:sz w:val="20"/>
        </w:rPr>
        <w:t>.</w:t>
      </w:r>
      <w:bookmarkEnd w:id="6"/>
      <w:bookmarkEnd w:id="7"/>
      <w:r w:rsidRPr="002E5DFD">
        <w:rPr>
          <w:rFonts w:cs="Calibri"/>
          <w:sz w:val="20"/>
        </w:rPr>
        <w:t xml:space="preserve"> Indoor LED lighting coincidence from DNV-GL, as gathered and analyzed for the 2015 evaluation, </w:t>
      </w:r>
      <w:r w:rsidRPr="002E5DFD">
        <w:rPr>
          <w:rFonts w:cs="Calibri"/>
          <w:i/>
          <w:sz w:val="20"/>
        </w:rPr>
        <w:t xml:space="preserve">Large C&amp;I Retrofit and New Equipment &amp; Construction Impact Evaluation, Sep 25, 2015. </w:t>
      </w:r>
      <w:r w:rsidRPr="002E5DFD">
        <w:rPr>
          <w:rFonts w:cs="Calibri"/>
          <w:sz w:val="20"/>
        </w:rPr>
        <w:t>See</w:t>
      </w:r>
      <w:r w:rsidRPr="002E5DFD">
        <w:rPr>
          <w:rFonts w:cs="Calibri"/>
          <w:i/>
          <w:sz w:val="20"/>
        </w:rPr>
        <w:t xml:space="preserve"> </w:t>
      </w:r>
      <w:r w:rsidRPr="002E5DFD">
        <w:rPr>
          <w:rFonts w:cs="Calibri"/>
          <w:sz w:val="20"/>
        </w:rPr>
        <w:t xml:space="preserve">NH PUC website at </w:t>
      </w:r>
      <w:r w:rsidRPr="002E5DFD">
        <w:rPr>
          <w:rFonts w:cs="Calibri"/>
          <w:i/>
          <w:sz w:val="20"/>
        </w:rPr>
        <w:t xml:space="preserve"> </w:t>
      </w:r>
      <w:bookmarkStart w:id="8" w:name="OLE_LINK5"/>
      <w:bookmarkStart w:id="9" w:name="OLE_LINK6"/>
      <w:r w:rsidRPr="002E5DFD">
        <w:fldChar w:fldCharType="begin"/>
      </w:r>
      <w:r w:rsidRPr="002E5DFD">
        <w:rPr>
          <w:rFonts w:cs="Calibri"/>
        </w:rPr>
        <w:instrText xml:space="preserve"> HYPERLINK "http://www.puc.state.nh.us/Electric/Monitoring%20and%20Evaluation%20Reports/New%20Hampshire%20Large%20C&amp;I%20Program%20Impact%20Study%20Final%20Report.pdf" </w:instrText>
      </w:r>
      <w:r w:rsidRPr="002E5DFD">
        <w:fldChar w:fldCharType="separate"/>
      </w:r>
      <w:r w:rsidRPr="002E5DFD">
        <w:rPr>
          <w:rStyle w:val="Hyperlink"/>
          <w:rFonts w:cs="Calibri"/>
          <w:sz w:val="20"/>
        </w:rPr>
        <w:t>http://www.puc.state.nh.us/Electric/Monitoring%20and%20Evaluation%20Reports/New%20Hampshire%20Large%20C&amp;I%20Program%20Impact%20Study%20Final%20Report.pdf</w:t>
      </w:r>
      <w:r w:rsidRPr="002E5DFD">
        <w:rPr>
          <w:rStyle w:val="Hyperlink"/>
          <w:rFonts w:cs="Calibri"/>
          <w:sz w:val="20"/>
        </w:rPr>
        <w:fldChar w:fldCharType="end"/>
      </w:r>
      <w:bookmarkEnd w:id="8"/>
      <w:bookmarkEnd w:id="9"/>
      <w:r w:rsidRPr="002E5DFD">
        <w:rPr>
          <w:rFonts w:cs="Calibri"/>
          <w:sz w:val="20"/>
        </w:rPr>
        <w:t xml:space="preserve"> </w:t>
      </w:r>
      <w:r w:rsidRPr="002E5DFD">
        <w:rPr>
          <w:rFonts w:cs="Calibri"/>
          <w:sz w:val="20"/>
        </w:rPr>
        <w:br/>
      </w:r>
    </w:p>
    <w:p w:rsidR="00EB454E" w:rsidRPr="002E5DFD" w:rsidRDefault="00EB454E" w:rsidP="00EB454E">
      <w:pPr>
        <w:rPr>
          <w:rFonts w:cs="Calibri"/>
        </w:rPr>
      </w:pPr>
      <w:r w:rsidRPr="002E5DFD">
        <w:rPr>
          <w:rFonts w:cs="Calibri"/>
        </w:rPr>
        <w:t>This approach was chosen for calculating customer peak demand impacts—including the use of DNV-GL load shape data—because it is the most accurate methodology and data currently available for determining the impacts of energy efficiency measures on customer demand charges. DNV-GL gathered load shape data via site visits to 68 sites with projects installed in 2012 through the New Hampshire utilities’ large C&amp;I programs. Each site visit consisted of a verification of installed equipment and collection and analysis of monitored or trended data. Monitoring was performed for an average of seven weeks. Spot power monitoring was performed as needed to assess the efficiency of the unit of interest. When possible, energy management system data was used to obtain additional information and operating schedules. All of the monitoring equipment which was used to determine demand reduction</w:t>
      </w:r>
      <w:r w:rsidR="002D0C45">
        <w:rPr>
          <w:rFonts w:cs="Calibri"/>
        </w:rPr>
        <w:t xml:space="preserve"> </w:t>
      </w:r>
      <w:r w:rsidRPr="002E5DFD">
        <w:rPr>
          <w:rFonts w:cs="Calibri"/>
        </w:rPr>
        <w:t xml:space="preserve">and </w:t>
      </w:r>
      <w:r w:rsidR="002D0C45">
        <w:rPr>
          <w:rFonts w:cs="Calibri"/>
        </w:rPr>
        <w:t>coincidence</w:t>
      </w:r>
      <w:r w:rsidRPr="002E5DFD">
        <w:rPr>
          <w:rFonts w:cs="Calibri"/>
        </w:rPr>
        <w:t xml:space="preserve"> complies with the requirements of the ISO-New England Manual for Measurement and Verification of Demand Resources (M-MVDR).</w:t>
      </w:r>
      <w:r w:rsidRPr="002E5DFD">
        <w:rPr>
          <w:rStyle w:val="FootnoteReference"/>
          <w:rFonts w:cs="Calibri"/>
        </w:rPr>
        <w:footnoteReference w:id="15"/>
      </w:r>
      <w:r w:rsidRPr="002E5DFD">
        <w:rPr>
          <w:rFonts w:cs="Calibri"/>
        </w:rPr>
        <w:t xml:space="preserve"> In addition, Eversource Rate GV customer usage profiles were used to determine customers’ peak hour, because they are a representative group of C&amp;I customers, with recently collected hourly demand data.</w:t>
      </w:r>
    </w:p>
    <w:p w:rsidR="00EB454E" w:rsidRPr="002E5DFD" w:rsidRDefault="00EB454E" w:rsidP="00EB454E">
      <w:pPr>
        <w:rPr>
          <w:rFonts w:cs="Calibri"/>
        </w:rPr>
      </w:pPr>
      <w:r w:rsidRPr="002E5DFD">
        <w:rPr>
          <w:rFonts w:cs="Calibri"/>
        </w:rPr>
        <w:t>For several measure types—refrigeration, domestic hot water, and motors/drives—DNV-GL did not gather end use load shape data as part of the 2015 evaluation. To determine customers’ peak demand impacts for these measure types, load shape data from the Electric Power Research Institute (EPRI) was used. This data was chosen because it is the best available source for these end uses where DNV-GL load shapes are not available, and it was the approach and the data source recommended in the January 23, 2018 memorandum from Optimal Energy to NHPUC staff.</w:t>
      </w:r>
      <w:r w:rsidRPr="002E5DFD">
        <w:rPr>
          <w:rStyle w:val="FootnoteReference"/>
          <w:rFonts w:cs="Calibri"/>
        </w:rPr>
        <w:footnoteReference w:id="16"/>
      </w:r>
      <w:r w:rsidRPr="002E5DFD">
        <w:rPr>
          <w:rFonts w:cs="Calibri"/>
        </w:rPr>
        <w:t xml:space="preserve"> The EPRI load shape data are a web accessible database of best-available U.S. end-use load data for each customer sector (e.g., commercial and industrial) in each region of the country (e.g., Northeast). According to EPRI, the data are drawn from multiple sources, including EPRI’s field pilots, regional utility studies (e.g., BPA’s Pacific Northwest Residential Building Stock Assessment) or through historical collaborative activities such as the EPRI CEED (Center for End-Use Energy Data) PowerShape™ data of 2000-01. As stated on the EPRI website, “the objective of the Load Shape Library is to facilitate the collection, use and functionality of a library of representative electric load shapes by climate zone, geography or by utility. Representative load shapes are a challenge to acquire due to the cost to collect end use level load data. While EPRI and the utility membership work towards acquiring national and regional statistically representative load data, EPRI Program 170 A (End-Use Energy Efficiency and Demand Response Analytics) has developed an analytical framework with a web accessible database of </w:t>
      </w:r>
      <w:r w:rsidRPr="002E5DFD">
        <w:rPr>
          <w:rFonts w:cs="Calibri"/>
          <w:i/>
        </w:rPr>
        <w:t>best-available</w:t>
      </w:r>
      <w:r w:rsidRPr="002E5DFD">
        <w:rPr>
          <w:rFonts w:cs="Calibri"/>
        </w:rPr>
        <w:t xml:space="preserve"> U.S. load data.” Based on Optimal’s recommendation, as well as working group review of the data, these data are the most suitable set of end use load shape data available for determining customer peak kW impacts of those energy efficiency measures for which DNV-GL load shapes are not available.</w:t>
      </w:r>
    </w:p>
    <w:p w:rsidR="00EB454E" w:rsidRPr="002E5DFD" w:rsidRDefault="00EB454E" w:rsidP="00EB454E">
      <w:pPr>
        <w:rPr>
          <w:rFonts w:cs="Calibri"/>
        </w:rPr>
      </w:pPr>
      <w:r w:rsidRPr="002E5DFD">
        <w:rPr>
          <w:rFonts w:cs="Calibri"/>
        </w:rPr>
        <w:t xml:space="preserve">In applying these data to customer’s monthly load shapes, several assumptions were made. First, EPRI’s load shape data are available for peak (summer) and off-peak (winter) seasons. The calculations take the conservative approach of applying peak values to June, July, and August—the months of ISO-NE summer peak period—and off-peak values to all other months. Second, the data are available for average and peak weekdays. The peak weekday values were applied, to reflect those days when customer’s individual monthly peaks were more likely to occur. </w:t>
      </w:r>
    </w:p>
    <w:p w:rsidR="00EB454E" w:rsidRPr="002E5DFD" w:rsidRDefault="00EB454E" w:rsidP="00EB454E">
      <w:pPr>
        <w:rPr>
          <w:rFonts w:cs="Calibri"/>
        </w:rPr>
      </w:pPr>
      <w:r w:rsidRPr="002E5DFD">
        <w:rPr>
          <w:rFonts w:cs="Calibri"/>
        </w:rPr>
        <w:t>Table 2 below shows the average customer peak hour for Eversource Rate GV customers for each month, the CF values for that month based on the DNV-GL data, where available, the EPRI data for each end use where DNV-GL data were not available, and the annual average CF. The template in appendix B illustrates how these values are applied to the LBR calculations.</w:t>
      </w:r>
    </w:p>
    <w:p w:rsidR="0060419D" w:rsidRPr="002E5DFD" w:rsidRDefault="0060419D" w:rsidP="00A6189D">
      <w:pPr>
        <w:spacing w:after="0" w:line="240" w:lineRule="auto"/>
        <w:rPr>
          <w:b/>
        </w:rPr>
      </w:pPr>
    </w:p>
    <w:p w:rsidR="000B6130" w:rsidRPr="002E5DFD" w:rsidRDefault="000B6130" w:rsidP="00A6189D">
      <w:pPr>
        <w:spacing w:after="0" w:line="240" w:lineRule="auto"/>
        <w:rPr>
          <w:b/>
        </w:rPr>
      </w:pPr>
    </w:p>
    <w:p w:rsidR="000B6130" w:rsidRPr="002E5DFD" w:rsidRDefault="000B6130" w:rsidP="00A6189D">
      <w:pPr>
        <w:spacing w:after="0" w:line="240" w:lineRule="auto"/>
        <w:rPr>
          <w:b/>
        </w:rPr>
      </w:pPr>
    </w:p>
    <w:p w:rsidR="000B6130" w:rsidRDefault="000B6130" w:rsidP="00A6189D">
      <w:pPr>
        <w:spacing w:after="0" w:line="240" w:lineRule="auto"/>
        <w:rPr>
          <w:b/>
        </w:rPr>
      </w:pPr>
    </w:p>
    <w:p w:rsidR="002D0C45" w:rsidRDefault="002D0C45" w:rsidP="00A6189D">
      <w:pPr>
        <w:spacing w:after="0" w:line="240" w:lineRule="auto"/>
        <w:rPr>
          <w:b/>
        </w:rPr>
      </w:pPr>
    </w:p>
    <w:p w:rsidR="002D0C45" w:rsidRPr="002E5DFD" w:rsidRDefault="002D0C45" w:rsidP="00A6189D">
      <w:pPr>
        <w:spacing w:after="0" w:line="240" w:lineRule="auto"/>
        <w:rPr>
          <w:b/>
        </w:rPr>
      </w:pPr>
    </w:p>
    <w:p w:rsidR="00A6189D" w:rsidRPr="002E5DFD" w:rsidRDefault="00B36AB8" w:rsidP="00A6189D">
      <w:pPr>
        <w:spacing w:after="0" w:line="240" w:lineRule="auto"/>
        <w:rPr>
          <w:rFonts w:ascii="Arial" w:eastAsia="Times New Roman" w:hAnsi="Arial" w:cs="Arial"/>
          <w:b/>
          <w:bCs/>
          <w:sz w:val="18"/>
          <w:szCs w:val="20"/>
        </w:rPr>
      </w:pPr>
      <w:r w:rsidRPr="002E5DFD">
        <w:rPr>
          <w:b/>
        </w:rPr>
        <w:t xml:space="preserve">Table </w:t>
      </w:r>
      <w:r w:rsidR="006238DD" w:rsidRPr="002E5DFD">
        <w:rPr>
          <w:b/>
        </w:rPr>
        <w:t>2</w:t>
      </w:r>
      <w:r w:rsidR="002D0C45">
        <w:rPr>
          <w:b/>
        </w:rPr>
        <w:t>:</w:t>
      </w:r>
      <w:r w:rsidR="00A6189D" w:rsidRPr="002E5DFD">
        <w:rPr>
          <w:b/>
        </w:rPr>
        <w:t xml:space="preserve"> </w:t>
      </w:r>
      <w:r w:rsidR="00351F27" w:rsidRPr="002E5DFD">
        <w:rPr>
          <w:b/>
        </w:rPr>
        <w:t xml:space="preserve">C&amp;I </w:t>
      </w:r>
      <w:r w:rsidR="00351F27" w:rsidRPr="002E5DFD">
        <w:rPr>
          <w:rFonts w:ascii="Arial" w:eastAsia="Times New Roman" w:hAnsi="Arial" w:cs="Arial"/>
          <w:b/>
          <w:bCs/>
          <w:sz w:val="18"/>
          <w:szCs w:val="20"/>
        </w:rPr>
        <w:t>Weekday Peak Hour End Use</w:t>
      </w:r>
      <w:r w:rsidR="00F16CB2" w:rsidRPr="002E5DFD">
        <w:rPr>
          <w:rFonts w:ascii="Arial" w:eastAsia="Times New Roman" w:hAnsi="Arial" w:cs="Arial"/>
          <w:b/>
          <w:bCs/>
          <w:sz w:val="18"/>
          <w:szCs w:val="20"/>
        </w:rPr>
        <w:t xml:space="preserve"> Coincident Factors (</w:t>
      </w:r>
      <w:r w:rsidR="00351F27" w:rsidRPr="002E5DFD">
        <w:rPr>
          <w:rFonts w:ascii="Arial" w:eastAsia="Times New Roman" w:hAnsi="Arial" w:cs="Arial"/>
          <w:b/>
          <w:bCs/>
          <w:sz w:val="18"/>
          <w:szCs w:val="20"/>
        </w:rPr>
        <w:t>CFs</w:t>
      </w:r>
      <w:r w:rsidR="00F16CB2" w:rsidRPr="002E5DFD">
        <w:rPr>
          <w:rFonts w:ascii="Arial" w:eastAsia="Times New Roman" w:hAnsi="Arial" w:cs="Arial"/>
          <w:b/>
          <w:bCs/>
          <w:sz w:val="18"/>
          <w:szCs w:val="20"/>
        </w:rPr>
        <w:t>)</w:t>
      </w:r>
    </w:p>
    <w:p w:rsidR="00D6781F" w:rsidRPr="002E5DFD" w:rsidRDefault="00D6781F" w:rsidP="00A6189D">
      <w:pPr>
        <w:spacing w:after="0" w:line="240" w:lineRule="auto"/>
        <w:rPr>
          <w:rFonts w:ascii="Arial" w:eastAsia="Times New Roman" w:hAnsi="Arial" w:cs="Arial"/>
          <w:b/>
          <w:bCs/>
          <w:sz w:val="18"/>
          <w:szCs w:val="20"/>
        </w:rPr>
      </w:pPr>
    </w:p>
    <w:tbl>
      <w:tblPr>
        <w:tblW w:w="11674" w:type="dxa"/>
        <w:tblInd w:w="-1175" w:type="dxa"/>
        <w:tblLook w:val="04A0" w:firstRow="1" w:lastRow="0" w:firstColumn="1" w:lastColumn="0" w:noHBand="0" w:noVBand="1"/>
      </w:tblPr>
      <w:tblGrid>
        <w:gridCol w:w="1097"/>
        <w:gridCol w:w="703"/>
        <w:gridCol w:w="950"/>
        <w:gridCol w:w="66"/>
        <w:gridCol w:w="604"/>
        <w:gridCol w:w="576"/>
        <w:gridCol w:w="66"/>
        <w:gridCol w:w="929"/>
        <w:gridCol w:w="66"/>
        <w:gridCol w:w="895"/>
        <w:gridCol w:w="66"/>
        <w:gridCol w:w="898"/>
        <w:gridCol w:w="877"/>
        <w:gridCol w:w="737"/>
        <w:gridCol w:w="66"/>
        <w:gridCol w:w="811"/>
        <w:gridCol w:w="66"/>
        <w:gridCol w:w="921"/>
        <w:gridCol w:w="1280"/>
      </w:tblGrid>
      <w:tr w:rsidR="00D6781F" w:rsidRPr="002E5DFD" w:rsidTr="00F25F48">
        <w:trPr>
          <w:trHeight w:val="300"/>
        </w:trPr>
        <w:tc>
          <w:tcPr>
            <w:tcW w:w="11674" w:type="dxa"/>
            <w:gridSpan w:val="19"/>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D6781F" w:rsidRPr="002E5DFD" w:rsidRDefault="00D6781F" w:rsidP="00F25F48">
            <w:pPr>
              <w:spacing w:after="0" w:line="240" w:lineRule="auto"/>
              <w:jc w:val="center"/>
              <w:rPr>
                <w:rFonts w:ascii="Arial" w:eastAsia="Times New Roman" w:hAnsi="Arial" w:cs="Arial"/>
                <w:b/>
                <w:bCs/>
                <w:sz w:val="20"/>
                <w:szCs w:val="20"/>
              </w:rPr>
            </w:pPr>
            <w:r w:rsidRPr="002E5DFD">
              <w:rPr>
                <w:rFonts w:ascii="Arial" w:eastAsia="Times New Roman" w:hAnsi="Arial" w:cs="Arial"/>
                <w:b/>
                <w:bCs/>
                <w:sz w:val="20"/>
                <w:szCs w:val="20"/>
              </w:rPr>
              <w:t>AVERAGE CUSTOMER PEAK HOUR COINCIDENCE FACTORS, WEEKDAY</w:t>
            </w:r>
          </w:p>
        </w:tc>
      </w:tr>
      <w:tr w:rsidR="00D6781F" w:rsidRPr="002E5DFD" w:rsidTr="00F25F48">
        <w:trPr>
          <w:trHeight w:val="251"/>
        </w:trPr>
        <w:tc>
          <w:tcPr>
            <w:tcW w:w="1097" w:type="dxa"/>
            <w:tcBorders>
              <w:top w:val="nil"/>
              <w:left w:val="single" w:sz="4" w:space="0" w:color="auto"/>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20"/>
                <w:szCs w:val="20"/>
              </w:rPr>
            </w:pPr>
            <w:r w:rsidRPr="002E5DFD">
              <w:rPr>
                <w:rFonts w:ascii="Arial" w:eastAsia="Times New Roman" w:hAnsi="Arial" w:cs="Arial"/>
                <w:b/>
                <w:bCs/>
                <w:sz w:val="20"/>
                <w:szCs w:val="20"/>
              </w:rPr>
              <w:t> </w:t>
            </w:r>
          </w:p>
        </w:tc>
        <w:tc>
          <w:tcPr>
            <w:tcW w:w="703" w:type="dxa"/>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20"/>
                <w:szCs w:val="20"/>
              </w:rPr>
            </w:pPr>
            <w:r w:rsidRPr="002E5DFD">
              <w:rPr>
                <w:rFonts w:ascii="Arial" w:eastAsia="Times New Roman" w:hAnsi="Arial" w:cs="Arial"/>
                <w:b/>
                <w:bCs/>
                <w:sz w:val="20"/>
                <w:szCs w:val="20"/>
              </w:rPr>
              <w:t> </w:t>
            </w:r>
          </w:p>
        </w:tc>
        <w:tc>
          <w:tcPr>
            <w:tcW w:w="5993" w:type="dxa"/>
            <w:gridSpan w:val="11"/>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6781F" w:rsidRPr="002E5DFD" w:rsidRDefault="00D6781F" w:rsidP="00F25F48">
            <w:pPr>
              <w:spacing w:after="0" w:line="240" w:lineRule="auto"/>
              <w:jc w:val="center"/>
              <w:rPr>
                <w:rFonts w:ascii="Arial" w:eastAsia="Times New Roman" w:hAnsi="Arial" w:cs="Arial"/>
                <w:b/>
                <w:bCs/>
                <w:sz w:val="18"/>
                <w:szCs w:val="20"/>
              </w:rPr>
            </w:pPr>
            <w:r w:rsidRPr="002E5DFD">
              <w:rPr>
                <w:rFonts w:ascii="Arial" w:eastAsia="Times New Roman" w:hAnsi="Arial" w:cs="Arial"/>
                <w:b/>
                <w:bCs/>
                <w:sz w:val="18"/>
                <w:szCs w:val="20"/>
              </w:rPr>
              <w:t>DNV-GL load shapes</w:t>
            </w:r>
          </w:p>
        </w:tc>
        <w:tc>
          <w:tcPr>
            <w:tcW w:w="2601" w:type="dxa"/>
            <w:gridSpan w:val="5"/>
            <w:tcBorders>
              <w:top w:val="single" w:sz="4" w:space="0" w:color="auto"/>
              <w:left w:val="nil"/>
              <w:bottom w:val="single" w:sz="4" w:space="0" w:color="auto"/>
              <w:right w:val="single" w:sz="4" w:space="0" w:color="000000"/>
            </w:tcBorders>
            <w:shd w:val="clear" w:color="000000" w:fill="D9D9D9"/>
            <w:noWrap/>
            <w:vAlign w:val="bottom"/>
            <w:hideMark/>
          </w:tcPr>
          <w:p w:rsidR="00D6781F" w:rsidRPr="002E5DFD" w:rsidRDefault="00D6781F" w:rsidP="00F25F48">
            <w:pPr>
              <w:spacing w:after="0" w:line="240" w:lineRule="auto"/>
              <w:jc w:val="center"/>
              <w:rPr>
                <w:rFonts w:ascii="Arial" w:eastAsia="Times New Roman" w:hAnsi="Arial" w:cs="Arial"/>
                <w:b/>
                <w:bCs/>
                <w:sz w:val="18"/>
                <w:szCs w:val="20"/>
              </w:rPr>
            </w:pPr>
            <w:r w:rsidRPr="002E5DFD">
              <w:rPr>
                <w:rFonts w:ascii="Arial" w:eastAsia="Times New Roman" w:hAnsi="Arial" w:cs="Arial"/>
                <w:b/>
                <w:bCs/>
                <w:sz w:val="18"/>
                <w:szCs w:val="20"/>
              </w:rPr>
              <w:t>EPRI load shapes</w:t>
            </w:r>
          </w:p>
        </w:tc>
        <w:tc>
          <w:tcPr>
            <w:tcW w:w="1280" w:type="dxa"/>
            <w:vMerge w:val="restart"/>
            <w:tcBorders>
              <w:top w:val="nil"/>
              <w:left w:val="single" w:sz="4" w:space="0" w:color="auto"/>
              <w:right w:val="single" w:sz="4" w:space="0" w:color="auto"/>
            </w:tcBorders>
            <w:shd w:val="clear" w:color="000000" w:fill="F2F2F2"/>
            <w:vAlign w:val="bottom"/>
            <w:hideMark/>
          </w:tcPr>
          <w:p w:rsidR="00D6781F" w:rsidRPr="002E5DFD" w:rsidRDefault="00D6781F" w:rsidP="00F25F48">
            <w:pPr>
              <w:spacing w:after="0" w:line="240" w:lineRule="auto"/>
              <w:jc w:val="center"/>
              <w:rPr>
                <w:rFonts w:ascii="Arial" w:eastAsia="Times New Roman" w:hAnsi="Arial" w:cs="Arial"/>
                <w:b/>
                <w:bCs/>
                <w:sz w:val="18"/>
                <w:szCs w:val="18"/>
              </w:rPr>
            </w:pPr>
            <w:r w:rsidRPr="002E5DFD">
              <w:rPr>
                <w:rFonts w:ascii="Arial" w:eastAsia="Times New Roman" w:hAnsi="Arial" w:cs="Arial"/>
                <w:b/>
                <w:bCs/>
                <w:sz w:val="18"/>
                <w:szCs w:val="18"/>
              </w:rPr>
              <w:t xml:space="preserve">Custom </w:t>
            </w:r>
            <w:r w:rsidRPr="002E5DFD">
              <w:rPr>
                <w:rFonts w:ascii="Arial" w:eastAsia="Times New Roman" w:hAnsi="Arial" w:cs="Arial"/>
                <w:sz w:val="18"/>
                <w:szCs w:val="18"/>
              </w:rPr>
              <w:t>(average all measures)</w:t>
            </w:r>
          </w:p>
        </w:tc>
      </w:tr>
      <w:tr w:rsidR="00D6781F" w:rsidRPr="002E5DFD" w:rsidTr="00F25F48">
        <w:trPr>
          <w:trHeight w:val="170"/>
        </w:trPr>
        <w:tc>
          <w:tcPr>
            <w:tcW w:w="109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Month</w:t>
            </w:r>
          </w:p>
        </w:tc>
        <w:tc>
          <w:tcPr>
            <w:tcW w:w="703" w:type="dxa"/>
            <w:tcBorders>
              <w:top w:val="nil"/>
              <w:left w:val="nil"/>
              <w:bottom w:val="single" w:sz="4" w:space="0" w:color="auto"/>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Peak Hour</w:t>
            </w:r>
          </w:p>
        </w:tc>
        <w:tc>
          <w:tcPr>
            <w:tcW w:w="950" w:type="dxa"/>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Lighting</w:t>
            </w:r>
          </w:p>
        </w:tc>
        <w:tc>
          <w:tcPr>
            <w:tcW w:w="670" w:type="dxa"/>
            <w:gridSpan w:val="2"/>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Occ Sens</w:t>
            </w:r>
          </w:p>
        </w:tc>
        <w:tc>
          <w:tcPr>
            <w:tcW w:w="576" w:type="dxa"/>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LED</w:t>
            </w:r>
          </w:p>
        </w:tc>
        <w:tc>
          <w:tcPr>
            <w:tcW w:w="995" w:type="dxa"/>
            <w:gridSpan w:val="2"/>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Process</w:t>
            </w:r>
          </w:p>
        </w:tc>
        <w:tc>
          <w:tcPr>
            <w:tcW w:w="961" w:type="dxa"/>
            <w:gridSpan w:val="2"/>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Cooling</w:t>
            </w:r>
          </w:p>
        </w:tc>
        <w:tc>
          <w:tcPr>
            <w:tcW w:w="964" w:type="dxa"/>
            <w:gridSpan w:val="2"/>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Park Lot Lights</w:t>
            </w:r>
          </w:p>
        </w:tc>
        <w:tc>
          <w:tcPr>
            <w:tcW w:w="877" w:type="dxa"/>
            <w:tcBorders>
              <w:top w:val="nil"/>
              <w:left w:val="nil"/>
              <w:bottom w:val="single" w:sz="4" w:space="0" w:color="auto"/>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Heating</w:t>
            </w:r>
          </w:p>
        </w:tc>
        <w:tc>
          <w:tcPr>
            <w:tcW w:w="737" w:type="dxa"/>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Refrig</w:t>
            </w:r>
          </w:p>
        </w:tc>
        <w:tc>
          <w:tcPr>
            <w:tcW w:w="877" w:type="dxa"/>
            <w:gridSpan w:val="2"/>
            <w:tcBorders>
              <w:top w:val="nil"/>
              <w:left w:val="nil"/>
              <w:bottom w:val="single" w:sz="4" w:space="0" w:color="auto"/>
              <w:right w:val="nil"/>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Water Heating</w:t>
            </w:r>
          </w:p>
        </w:tc>
        <w:tc>
          <w:tcPr>
            <w:tcW w:w="987" w:type="dxa"/>
            <w:gridSpan w:val="2"/>
            <w:tcBorders>
              <w:top w:val="nil"/>
              <w:left w:val="nil"/>
              <w:bottom w:val="single" w:sz="4" w:space="0" w:color="auto"/>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b/>
                <w:bCs/>
                <w:sz w:val="18"/>
                <w:szCs w:val="18"/>
              </w:rPr>
            </w:pPr>
            <w:r w:rsidRPr="002E5DFD">
              <w:rPr>
                <w:rFonts w:ascii="Arial" w:eastAsia="Times New Roman" w:hAnsi="Arial" w:cs="Arial"/>
                <w:b/>
                <w:bCs/>
                <w:sz w:val="18"/>
                <w:szCs w:val="18"/>
              </w:rPr>
              <w:t>Machine/ Drives</w:t>
            </w:r>
          </w:p>
        </w:tc>
        <w:tc>
          <w:tcPr>
            <w:tcW w:w="1280" w:type="dxa"/>
            <w:vMerge/>
            <w:tcBorders>
              <w:left w:val="single" w:sz="4" w:space="0" w:color="auto"/>
              <w:bottom w:val="single" w:sz="4" w:space="0" w:color="000000"/>
              <w:right w:val="single" w:sz="4" w:space="0" w:color="auto"/>
            </w:tcBorders>
            <w:vAlign w:val="center"/>
            <w:hideMark/>
          </w:tcPr>
          <w:p w:rsidR="00D6781F" w:rsidRPr="002E5DFD" w:rsidRDefault="00D6781F" w:rsidP="00F25F48">
            <w:pPr>
              <w:spacing w:after="0" w:line="240" w:lineRule="auto"/>
              <w:rPr>
                <w:rFonts w:ascii="Arial" w:eastAsia="Times New Roman" w:hAnsi="Arial" w:cs="Arial"/>
                <w:b/>
                <w:bCs/>
                <w:sz w:val="18"/>
                <w:szCs w:val="18"/>
              </w:rPr>
            </w:pPr>
          </w:p>
        </w:tc>
      </w:tr>
      <w:tr w:rsidR="00D6781F" w:rsidRPr="002E5DFD" w:rsidTr="00F25F48">
        <w:trPr>
          <w:trHeight w:val="96"/>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January</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11.0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0.87</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0.03</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0.69</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0.76</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0.98</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February</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11.0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0.83</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0.64</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0.01</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0.69</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0.76</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0.98</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0.62</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March</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11.0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0.83</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0.64</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0.11</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0.70</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0.76</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0.98</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April</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12.0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0.92</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0.76</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0.19</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0.69</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0.77</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May</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14.0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0.66</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0.87</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0.80</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0.30</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0.71</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0.77</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0.68</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June</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14.0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0.66</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0.86</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0.81</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0.57</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0.62</w:t>
            </w:r>
          </w:p>
        </w:tc>
      </w:tr>
      <w:tr w:rsidR="00D6781F" w:rsidRPr="002E5DFD" w:rsidTr="00F25F48">
        <w:trPr>
          <w:trHeight w:val="117"/>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July</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14.0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0.76</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0.54</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0.87</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0.80</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0.80</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0.57</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0.62</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August</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14.0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0.65</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0.88</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0.80</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0.64</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0.57</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0.62</w:t>
            </w:r>
          </w:p>
        </w:tc>
      </w:tr>
      <w:tr w:rsidR="00D6781F" w:rsidRPr="002E5DFD" w:rsidTr="00F25F48">
        <w:trPr>
          <w:trHeight w:val="95"/>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September</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14.0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0.74</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0.69</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0.88</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0.81</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0.56</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0.77</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r>
      <w:tr w:rsidR="00D6781F" w:rsidRPr="002E5DFD" w:rsidTr="00F25F48">
        <w:trPr>
          <w:trHeight w:val="117"/>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October</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14.0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0.88</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0.73</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0.17</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0.73</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0.77</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0.66</w:t>
            </w:r>
          </w:p>
        </w:tc>
      </w:tr>
      <w:tr w:rsidR="00D6781F" w:rsidRPr="002E5DFD" w:rsidTr="00F25F48">
        <w:trPr>
          <w:trHeight w:val="189"/>
        </w:trPr>
        <w:tc>
          <w:tcPr>
            <w:tcW w:w="1097" w:type="dxa"/>
            <w:tcBorders>
              <w:top w:val="nil"/>
              <w:left w:val="single" w:sz="4" w:space="0" w:color="auto"/>
              <w:bottom w:val="nil"/>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November</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12.0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0.75</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0.92</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0.66</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0.16</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0.71</w:t>
            </w:r>
          </w:p>
        </w:tc>
        <w:tc>
          <w:tcPr>
            <w:tcW w:w="737"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0.77</w:t>
            </w:r>
          </w:p>
        </w:tc>
        <w:tc>
          <w:tcPr>
            <w:tcW w:w="877"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1.00</w:t>
            </w:r>
          </w:p>
        </w:tc>
        <w:tc>
          <w:tcPr>
            <w:tcW w:w="987" w:type="dxa"/>
            <w:gridSpan w:val="2"/>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0.65</w:t>
            </w:r>
          </w:p>
        </w:tc>
      </w:tr>
      <w:tr w:rsidR="00D6781F" w:rsidRPr="002E5DFD" w:rsidTr="00F25F48">
        <w:trPr>
          <w:trHeight w:val="95"/>
        </w:trPr>
        <w:tc>
          <w:tcPr>
            <w:tcW w:w="1097" w:type="dxa"/>
            <w:tcBorders>
              <w:top w:val="nil"/>
              <w:left w:val="single" w:sz="4" w:space="0" w:color="auto"/>
              <w:bottom w:val="single" w:sz="4" w:space="0" w:color="auto"/>
              <w:right w:val="single" w:sz="4" w:space="0" w:color="auto"/>
            </w:tcBorders>
            <w:shd w:val="clear" w:color="000000" w:fill="D9D9D9"/>
            <w:noWrap/>
            <w:vAlign w:val="bottom"/>
            <w:hideMark/>
          </w:tcPr>
          <w:p w:rsidR="00D6781F" w:rsidRPr="002E5DFD" w:rsidRDefault="00D6781F" w:rsidP="00F25F48">
            <w:pPr>
              <w:spacing w:after="0" w:line="240" w:lineRule="auto"/>
              <w:rPr>
                <w:rFonts w:ascii="Arial" w:eastAsia="Times New Roman" w:hAnsi="Arial" w:cs="Arial"/>
                <w:sz w:val="18"/>
                <w:szCs w:val="18"/>
              </w:rPr>
            </w:pPr>
            <w:r w:rsidRPr="002E5DFD">
              <w:rPr>
                <w:rFonts w:ascii="Arial" w:eastAsia="Times New Roman" w:hAnsi="Arial" w:cs="Arial"/>
                <w:sz w:val="18"/>
                <w:szCs w:val="18"/>
              </w:rPr>
              <w:t>December</w:t>
            </w:r>
          </w:p>
        </w:tc>
        <w:tc>
          <w:tcPr>
            <w:tcW w:w="703" w:type="dxa"/>
            <w:tcBorders>
              <w:top w:val="nil"/>
              <w:left w:val="nil"/>
              <w:bottom w:val="nil"/>
              <w:right w:val="single" w:sz="4" w:space="0" w:color="auto"/>
            </w:tcBorders>
            <w:shd w:val="clear" w:color="000000" w:fill="D9D9D9"/>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11.0</w:t>
            </w:r>
          </w:p>
        </w:tc>
        <w:tc>
          <w:tcPr>
            <w:tcW w:w="950"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0.73</w:t>
            </w:r>
          </w:p>
        </w:tc>
        <w:tc>
          <w:tcPr>
            <w:tcW w:w="670"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0.67</w:t>
            </w:r>
          </w:p>
        </w:tc>
        <w:tc>
          <w:tcPr>
            <w:tcW w:w="576" w:type="dxa"/>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0.83</w:t>
            </w:r>
          </w:p>
        </w:tc>
        <w:tc>
          <w:tcPr>
            <w:tcW w:w="995"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c>
          <w:tcPr>
            <w:tcW w:w="961"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0.09</w:t>
            </w:r>
          </w:p>
        </w:tc>
        <w:tc>
          <w:tcPr>
            <w:tcW w:w="964" w:type="dxa"/>
            <w:gridSpan w:val="2"/>
            <w:tcBorders>
              <w:top w:val="nil"/>
              <w:left w:val="nil"/>
              <w:bottom w:val="nil"/>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0.00</w:t>
            </w:r>
          </w:p>
        </w:tc>
        <w:tc>
          <w:tcPr>
            <w:tcW w:w="877" w:type="dxa"/>
            <w:tcBorders>
              <w:top w:val="nil"/>
              <w:left w:val="nil"/>
              <w:bottom w:val="single" w:sz="4" w:space="0" w:color="auto"/>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0.70</w:t>
            </w:r>
          </w:p>
        </w:tc>
        <w:tc>
          <w:tcPr>
            <w:tcW w:w="737" w:type="dxa"/>
            <w:tcBorders>
              <w:top w:val="nil"/>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0.76</w:t>
            </w:r>
          </w:p>
        </w:tc>
        <w:tc>
          <w:tcPr>
            <w:tcW w:w="877" w:type="dxa"/>
            <w:gridSpan w:val="2"/>
            <w:tcBorders>
              <w:top w:val="nil"/>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0.98</w:t>
            </w:r>
          </w:p>
        </w:tc>
        <w:tc>
          <w:tcPr>
            <w:tcW w:w="987" w:type="dxa"/>
            <w:gridSpan w:val="2"/>
            <w:tcBorders>
              <w:top w:val="nil"/>
              <w:left w:val="nil"/>
              <w:bottom w:val="single" w:sz="4" w:space="0" w:color="auto"/>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0.99</w:t>
            </w:r>
          </w:p>
        </w:tc>
        <w:tc>
          <w:tcPr>
            <w:tcW w:w="1280" w:type="dxa"/>
            <w:tcBorders>
              <w:top w:val="nil"/>
              <w:left w:val="nil"/>
              <w:bottom w:val="nil"/>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sz w:val="18"/>
                <w:szCs w:val="18"/>
              </w:rPr>
            </w:pPr>
            <w:r w:rsidRPr="002E5DFD">
              <w:rPr>
                <w:rFonts w:ascii="Arial" w:eastAsia="Times New Roman" w:hAnsi="Arial" w:cs="Arial"/>
                <w:sz w:val="18"/>
                <w:szCs w:val="18"/>
              </w:rPr>
              <w:t>0.63</w:t>
            </w:r>
          </w:p>
        </w:tc>
      </w:tr>
      <w:tr w:rsidR="00D6781F" w:rsidRPr="002E5DFD" w:rsidTr="00F25F48">
        <w:trPr>
          <w:trHeight w:val="85"/>
        </w:trPr>
        <w:tc>
          <w:tcPr>
            <w:tcW w:w="180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6781F" w:rsidRPr="002E5DFD" w:rsidRDefault="00D6781F" w:rsidP="00F25F48">
            <w:pPr>
              <w:spacing w:after="0" w:line="240" w:lineRule="auto"/>
              <w:jc w:val="center"/>
              <w:rPr>
                <w:rFonts w:ascii="Arial" w:eastAsia="Times New Roman" w:hAnsi="Arial" w:cs="Arial"/>
                <w:b/>
                <w:sz w:val="18"/>
                <w:szCs w:val="18"/>
              </w:rPr>
            </w:pPr>
            <w:r w:rsidRPr="002E5DFD">
              <w:rPr>
                <w:rFonts w:ascii="Arial" w:eastAsia="Times New Roman" w:hAnsi="Arial" w:cs="Arial"/>
                <w:b/>
                <w:sz w:val="18"/>
                <w:szCs w:val="18"/>
              </w:rPr>
              <w:t>12-Month Average</w:t>
            </w:r>
          </w:p>
        </w:tc>
        <w:tc>
          <w:tcPr>
            <w:tcW w:w="1016" w:type="dxa"/>
            <w:gridSpan w:val="2"/>
            <w:tcBorders>
              <w:top w:val="single" w:sz="4" w:space="0" w:color="auto"/>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0.75</w:t>
            </w:r>
          </w:p>
        </w:tc>
        <w:tc>
          <w:tcPr>
            <w:tcW w:w="604" w:type="dxa"/>
            <w:tcBorders>
              <w:top w:val="single" w:sz="4" w:space="0" w:color="auto"/>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0.66</w:t>
            </w:r>
          </w:p>
        </w:tc>
        <w:tc>
          <w:tcPr>
            <w:tcW w:w="642" w:type="dxa"/>
            <w:gridSpan w:val="2"/>
            <w:tcBorders>
              <w:top w:val="single" w:sz="4" w:space="0" w:color="auto"/>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0.87</w:t>
            </w:r>
          </w:p>
        </w:tc>
        <w:tc>
          <w:tcPr>
            <w:tcW w:w="995" w:type="dxa"/>
            <w:gridSpan w:val="2"/>
            <w:tcBorders>
              <w:top w:val="single" w:sz="4" w:space="0" w:color="auto"/>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0.73</w:t>
            </w:r>
          </w:p>
        </w:tc>
        <w:tc>
          <w:tcPr>
            <w:tcW w:w="961" w:type="dxa"/>
            <w:gridSpan w:val="2"/>
            <w:tcBorders>
              <w:top w:val="single" w:sz="4" w:space="0" w:color="auto"/>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0.31</w:t>
            </w:r>
          </w:p>
        </w:tc>
        <w:tc>
          <w:tcPr>
            <w:tcW w:w="898" w:type="dxa"/>
            <w:tcBorders>
              <w:top w:val="single" w:sz="4" w:space="0" w:color="auto"/>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0.00</w:t>
            </w:r>
          </w:p>
        </w:tc>
        <w:tc>
          <w:tcPr>
            <w:tcW w:w="877" w:type="dxa"/>
            <w:tcBorders>
              <w:top w:val="nil"/>
              <w:left w:val="nil"/>
              <w:bottom w:val="single" w:sz="4" w:space="0" w:color="auto"/>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0.47</w:t>
            </w:r>
          </w:p>
        </w:tc>
        <w:tc>
          <w:tcPr>
            <w:tcW w:w="803" w:type="dxa"/>
            <w:gridSpan w:val="2"/>
            <w:tcBorders>
              <w:top w:val="nil"/>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0.82</w:t>
            </w:r>
          </w:p>
        </w:tc>
        <w:tc>
          <w:tcPr>
            <w:tcW w:w="877" w:type="dxa"/>
            <w:gridSpan w:val="2"/>
            <w:tcBorders>
              <w:top w:val="nil"/>
              <w:left w:val="nil"/>
              <w:bottom w:val="single" w:sz="4" w:space="0" w:color="auto"/>
              <w:right w:val="nil"/>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0.88</w:t>
            </w:r>
          </w:p>
        </w:tc>
        <w:tc>
          <w:tcPr>
            <w:tcW w:w="921" w:type="dxa"/>
            <w:tcBorders>
              <w:top w:val="nil"/>
              <w:left w:val="nil"/>
              <w:bottom w:val="single" w:sz="4" w:space="0" w:color="auto"/>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1.00</w:t>
            </w:r>
          </w:p>
        </w:tc>
        <w:tc>
          <w:tcPr>
            <w:tcW w:w="1280" w:type="dxa"/>
            <w:tcBorders>
              <w:top w:val="single" w:sz="4" w:space="0" w:color="auto"/>
              <w:left w:val="nil"/>
              <w:bottom w:val="single" w:sz="4" w:space="0" w:color="auto"/>
              <w:right w:val="single" w:sz="4" w:space="0" w:color="auto"/>
            </w:tcBorders>
            <w:shd w:val="clear" w:color="000000" w:fill="FFFFFF"/>
            <w:noWrap/>
            <w:vAlign w:val="bottom"/>
            <w:hideMark/>
          </w:tcPr>
          <w:p w:rsidR="00D6781F" w:rsidRPr="002E5DFD" w:rsidRDefault="00D6781F" w:rsidP="00F25F48">
            <w:pPr>
              <w:spacing w:after="0" w:line="240" w:lineRule="auto"/>
              <w:jc w:val="right"/>
              <w:rPr>
                <w:rFonts w:ascii="Arial" w:eastAsia="Times New Roman" w:hAnsi="Arial" w:cs="Arial"/>
                <w:b/>
                <w:sz w:val="18"/>
                <w:szCs w:val="18"/>
              </w:rPr>
            </w:pPr>
            <w:r w:rsidRPr="002E5DFD">
              <w:rPr>
                <w:rFonts w:ascii="Arial" w:eastAsia="Times New Roman" w:hAnsi="Arial" w:cs="Arial"/>
                <w:b/>
                <w:sz w:val="18"/>
                <w:szCs w:val="18"/>
              </w:rPr>
              <w:t>0.64</w:t>
            </w:r>
          </w:p>
        </w:tc>
      </w:tr>
    </w:tbl>
    <w:p w:rsidR="00157E14" w:rsidRPr="002E5DFD" w:rsidRDefault="00157E14" w:rsidP="00A6189D">
      <w:pPr>
        <w:spacing w:after="0" w:line="240" w:lineRule="auto"/>
        <w:rPr>
          <w:rFonts w:ascii="Arial" w:eastAsia="Times New Roman" w:hAnsi="Arial" w:cs="Arial"/>
          <w:b/>
          <w:bCs/>
          <w:sz w:val="18"/>
          <w:szCs w:val="20"/>
        </w:rPr>
      </w:pPr>
    </w:p>
    <w:p w:rsidR="00B66BCC" w:rsidRPr="009F4F2E" w:rsidRDefault="000B6130" w:rsidP="002D0C45">
      <w:pPr>
        <w:pStyle w:val="Heading2"/>
        <w:numPr>
          <w:ilvl w:val="0"/>
          <w:numId w:val="0"/>
        </w:numPr>
        <w:spacing w:before="0" w:line="240" w:lineRule="auto"/>
        <w:rPr>
          <w:rFonts w:ascii="Calibri" w:hAnsi="Calibri"/>
          <w:color w:val="auto"/>
        </w:rPr>
      </w:pPr>
      <w:r w:rsidRPr="009F4F2E">
        <w:rPr>
          <w:rFonts w:ascii="Calibri" w:hAnsi="Calibri"/>
          <w:color w:val="auto"/>
        </w:rPr>
        <w:t xml:space="preserve">C. </w:t>
      </w:r>
      <w:r w:rsidR="00B66BCC" w:rsidRPr="009F4F2E">
        <w:rPr>
          <w:rFonts w:ascii="Calibri" w:hAnsi="Calibri"/>
          <w:color w:val="auto"/>
        </w:rPr>
        <w:t>Net to Gross Percentage</w:t>
      </w:r>
    </w:p>
    <w:p w:rsidR="008841E5" w:rsidRPr="009F4F2E" w:rsidRDefault="0092367B" w:rsidP="002D0C45">
      <w:pPr>
        <w:spacing w:after="0" w:line="240" w:lineRule="auto"/>
      </w:pPr>
      <w:r w:rsidRPr="009F4F2E">
        <w:br/>
        <w:t>This percentage is a</w:t>
      </w:r>
      <w:r w:rsidR="008841E5" w:rsidRPr="009F4F2E">
        <w:t xml:space="preserve">ssumed to be </w:t>
      </w:r>
      <w:r w:rsidRPr="009F4F2E">
        <w:t>100%</w:t>
      </w:r>
      <w:r w:rsidR="008841E5" w:rsidRPr="009F4F2E">
        <w:t>, per the New Hampshire Energy Efficie</w:t>
      </w:r>
      <w:r w:rsidRPr="009F4F2E">
        <w:t>ncy Working Group Report, 1999.</w:t>
      </w:r>
      <w:r w:rsidRPr="009F4F2E">
        <w:rPr>
          <w:rStyle w:val="FootnoteReference"/>
        </w:rPr>
        <w:footnoteReference w:id="17"/>
      </w:r>
      <w:r w:rsidRPr="009F4F2E">
        <w:t xml:space="preserve"> As stated in the report, </w:t>
      </w:r>
      <w:r w:rsidR="008841E5" w:rsidRPr="009F4F2E">
        <w:t>“</w:t>
      </w:r>
      <w:r w:rsidRPr="009F4F2E">
        <w:t>a</w:t>
      </w:r>
      <w:r w:rsidR="008841E5" w:rsidRPr="009F4F2E">
        <w:t xml:space="preserve">lthough Group members agree that program designs should attempt to minimize free-riders, the Group concluded that the methodological challenges and associated costs of accurately assessing free-riders no longer justifies the effort required to net these out of cost-effectiveness analyses.” The report </w:t>
      </w:r>
      <w:r w:rsidRPr="009F4F2E">
        <w:t xml:space="preserve">also </w:t>
      </w:r>
      <w:r w:rsidR="008841E5" w:rsidRPr="009F4F2E">
        <w:t xml:space="preserve">allowed inclusion of spillover, but to date the utilities have not measured spillover or included it in </w:t>
      </w:r>
      <w:r w:rsidRPr="009F4F2E">
        <w:t>cost-effectiveness</w:t>
      </w:r>
      <w:r w:rsidR="008841E5" w:rsidRPr="009F4F2E">
        <w:t xml:space="preserve"> </w:t>
      </w:r>
      <w:r w:rsidRPr="009F4F2E">
        <w:t>analyses. The utilities have made numerous efforts to design programs to minimize free-ridership by requiring customer investment of time and resources, such as through conservative, judicious use of up-stream and mid-stream offerings.</w:t>
      </w:r>
    </w:p>
    <w:p w:rsidR="000B6130" w:rsidRPr="009F4F2E" w:rsidRDefault="000B6130" w:rsidP="002D0C45">
      <w:pPr>
        <w:pStyle w:val="Heading2"/>
        <w:numPr>
          <w:ilvl w:val="0"/>
          <w:numId w:val="0"/>
        </w:numPr>
        <w:spacing w:before="0" w:line="240" w:lineRule="auto"/>
        <w:rPr>
          <w:rFonts w:ascii="Calibri" w:hAnsi="Calibri"/>
          <w:color w:val="auto"/>
        </w:rPr>
      </w:pPr>
    </w:p>
    <w:p w:rsidR="0092367B" w:rsidRPr="009F4F2E" w:rsidRDefault="000B6130" w:rsidP="002D0C45">
      <w:pPr>
        <w:pStyle w:val="Heading2"/>
        <w:numPr>
          <w:ilvl w:val="0"/>
          <w:numId w:val="0"/>
        </w:numPr>
        <w:spacing w:before="0" w:line="240" w:lineRule="auto"/>
        <w:rPr>
          <w:rFonts w:ascii="Calibri" w:hAnsi="Calibri"/>
          <w:color w:val="auto"/>
        </w:rPr>
      </w:pPr>
      <w:r w:rsidRPr="009F4F2E">
        <w:rPr>
          <w:rFonts w:ascii="Calibri" w:hAnsi="Calibri"/>
          <w:color w:val="auto"/>
        </w:rPr>
        <w:t xml:space="preserve">D. </w:t>
      </w:r>
      <w:r w:rsidR="00B66BCC" w:rsidRPr="009F4F2E">
        <w:rPr>
          <w:rFonts w:ascii="Calibri" w:hAnsi="Calibri"/>
          <w:color w:val="auto"/>
        </w:rPr>
        <w:t>In-Service Rate</w:t>
      </w:r>
    </w:p>
    <w:p w:rsidR="008841E5" w:rsidRPr="009F4F2E" w:rsidRDefault="0092367B" w:rsidP="002D0C45">
      <w:pPr>
        <w:spacing w:after="0" w:line="240" w:lineRule="auto"/>
      </w:pPr>
      <w:r w:rsidRPr="009F4F2E">
        <w:br/>
        <w:t>This rate reflects the percentage of measures</w:t>
      </w:r>
      <w:r w:rsidR="00B7688E">
        <w:t>, incented by an energy efficiency program,</w:t>
      </w:r>
      <w:r w:rsidRPr="009F4F2E">
        <w:t xml:space="preserve"> that </w:t>
      </w:r>
      <w:r w:rsidR="00B7688E">
        <w:t xml:space="preserve">EM&amp;V studies estimate to be </w:t>
      </w:r>
      <w:r w:rsidRPr="009F4F2E">
        <w:t>installed and</w:t>
      </w:r>
      <w:r w:rsidR="00B7688E">
        <w:t xml:space="preserve"> capable of operating.   </w:t>
      </w:r>
      <w:r w:rsidRPr="009F4F2E">
        <w:t xml:space="preserve"> </w:t>
      </w:r>
      <w:r w:rsidR="008841E5" w:rsidRPr="009F4F2E">
        <w:t xml:space="preserve">Per program design, and consistent with other jurisdictions, C&amp;I projects are inspected post-installation, and incentives </w:t>
      </w:r>
      <w:r w:rsidR="00975910" w:rsidRPr="009F4F2E">
        <w:t xml:space="preserve">are </w:t>
      </w:r>
      <w:r w:rsidR="008841E5" w:rsidRPr="009F4F2E">
        <w:t xml:space="preserve">provided based on successful installation. Therefore, installation rates </w:t>
      </w:r>
      <w:r w:rsidR="00975910" w:rsidRPr="009F4F2E">
        <w:t xml:space="preserve">for C&amp;I programs </w:t>
      </w:r>
      <w:r w:rsidR="008841E5" w:rsidRPr="009F4F2E">
        <w:t>are 100%.</w:t>
      </w:r>
    </w:p>
    <w:p w:rsidR="000B6130" w:rsidRPr="009F4F2E" w:rsidRDefault="000B6130" w:rsidP="002D0C45">
      <w:pPr>
        <w:pStyle w:val="Heading2"/>
        <w:numPr>
          <w:ilvl w:val="0"/>
          <w:numId w:val="0"/>
        </w:numPr>
        <w:spacing w:before="0" w:line="240" w:lineRule="auto"/>
        <w:rPr>
          <w:rFonts w:ascii="Calibri" w:hAnsi="Calibri"/>
          <w:color w:val="auto"/>
        </w:rPr>
      </w:pPr>
    </w:p>
    <w:p w:rsidR="00B66BCC" w:rsidRPr="009F4F2E" w:rsidRDefault="000B6130" w:rsidP="002D0C45">
      <w:pPr>
        <w:pStyle w:val="Heading2"/>
        <w:numPr>
          <w:ilvl w:val="0"/>
          <w:numId w:val="0"/>
        </w:numPr>
        <w:spacing w:before="0" w:line="240" w:lineRule="auto"/>
        <w:rPr>
          <w:rFonts w:ascii="Calibri" w:hAnsi="Calibri"/>
          <w:color w:val="auto"/>
        </w:rPr>
      </w:pPr>
      <w:r w:rsidRPr="009F4F2E">
        <w:rPr>
          <w:rFonts w:ascii="Calibri" w:hAnsi="Calibri"/>
          <w:color w:val="auto"/>
        </w:rPr>
        <w:t xml:space="preserve">E. </w:t>
      </w:r>
      <w:r w:rsidR="00B66BCC" w:rsidRPr="009F4F2E">
        <w:rPr>
          <w:rFonts w:ascii="Calibri" w:hAnsi="Calibri"/>
          <w:color w:val="auto"/>
        </w:rPr>
        <w:t>Realization Rate</w:t>
      </w:r>
    </w:p>
    <w:p w:rsidR="00975910" w:rsidRPr="009F4F2E" w:rsidRDefault="00975910" w:rsidP="002D0C45">
      <w:pPr>
        <w:spacing w:after="0" w:line="240" w:lineRule="auto"/>
      </w:pPr>
      <w:r w:rsidRPr="009F4F2E">
        <w:br/>
        <w:t xml:space="preserve">This rate reflects the ratio of evaluated savings measured in impact evaluations to claimed savings based on utilities’ savings algorithms. Realization rates reflect various impact factors measured in evaluations, including in-service rates, coincidence factors, and hours of operation. Therefore, applying realization rates and other impact factors from the same study may result in double-counting these impacts. </w:t>
      </w:r>
    </w:p>
    <w:p w:rsidR="0046158A" w:rsidRPr="009F4F2E" w:rsidRDefault="00FD07D9" w:rsidP="002D0C45">
      <w:pPr>
        <w:spacing w:after="0" w:line="240" w:lineRule="auto"/>
      </w:pPr>
      <w:r w:rsidRPr="009F4F2E">
        <w:t>As sho</w:t>
      </w:r>
      <w:r w:rsidR="0068674C" w:rsidRPr="009F4F2E">
        <w:t xml:space="preserve">wn in the template in </w:t>
      </w:r>
      <w:r w:rsidR="005467EE">
        <w:t>A</w:t>
      </w:r>
      <w:r w:rsidR="0068674C" w:rsidRPr="009F4F2E">
        <w:t xml:space="preserve">ppendix </w:t>
      </w:r>
      <w:r w:rsidR="006238DD" w:rsidRPr="009F4F2E">
        <w:t>A</w:t>
      </w:r>
      <w:r w:rsidRPr="009F4F2E">
        <w:t>, t</w:t>
      </w:r>
      <w:r w:rsidR="00975910" w:rsidRPr="009F4F2E">
        <w:t>he calculations apply realization rates for each measure type from the best available, most recent impact evaluation of the New Hampshire C&amp;I program, completed by DNV-GL in September 2015.</w:t>
      </w:r>
      <w:r w:rsidR="00975910" w:rsidRPr="009F4F2E">
        <w:rPr>
          <w:rStyle w:val="FootnoteReference"/>
        </w:rPr>
        <w:footnoteReference w:id="18"/>
      </w:r>
      <w:r w:rsidR="00975910" w:rsidRPr="009F4F2E">
        <w:t xml:space="preserve"> Because these realization rates </w:t>
      </w:r>
      <w:r w:rsidR="009D1531">
        <w:t xml:space="preserve">already </w:t>
      </w:r>
      <w:r w:rsidR="00975910" w:rsidRPr="009F4F2E">
        <w:t xml:space="preserve">account for the impact of in-service rates, </w:t>
      </w:r>
      <w:r w:rsidR="009D1531">
        <w:t>realization rates did not add in-service rates a second time in order to avoid double counting.</w:t>
      </w:r>
      <w:r w:rsidR="007D04A3" w:rsidRPr="009F4F2E">
        <w:t>.</w:t>
      </w:r>
    </w:p>
    <w:p w:rsidR="0046158A" w:rsidRPr="009F4F2E" w:rsidRDefault="0046158A" w:rsidP="002D0C45">
      <w:pPr>
        <w:spacing w:after="0" w:line="240" w:lineRule="auto"/>
        <w:rPr>
          <w:sz w:val="26"/>
          <w:szCs w:val="26"/>
        </w:rPr>
      </w:pPr>
    </w:p>
    <w:p w:rsidR="00B66BCC" w:rsidRPr="009F4F2E" w:rsidRDefault="0046158A" w:rsidP="002D0C45">
      <w:pPr>
        <w:spacing w:after="0" w:line="240" w:lineRule="auto"/>
        <w:rPr>
          <w:sz w:val="26"/>
          <w:szCs w:val="26"/>
        </w:rPr>
      </w:pPr>
      <w:r w:rsidRPr="009F4F2E">
        <w:rPr>
          <w:sz w:val="26"/>
          <w:szCs w:val="26"/>
        </w:rPr>
        <w:t xml:space="preserve">F. </w:t>
      </w:r>
      <w:r w:rsidR="00B66BCC" w:rsidRPr="009F4F2E">
        <w:rPr>
          <w:sz w:val="26"/>
          <w:szCs w:val="26"/>
        </w:rPr>
        <w:t>Retirement Adjustment</w:t>
      </w:r>
    </w:p>
    <w:p w:rsidR="00D401CF" w:rsidRPr="009F4F2E" w:rsidRDefault="00BF6DCF" w:rsidP="002D0C45">
      <w:pPr>
        <w:spacing w:after="0" w:line="240" w:lineRule="auto"/>
      </w:pPr>
      <w:r w:rsidRPr="009F4F2E">
        <w:br/>
        <w:t xml:space="preserve">The kW savings will </w:t>
      </w:r>
      <w:r w:rsidR="00184A17" w:rsidRPr="009F4F2E">
        <w:t xml:space="preserve">be </w:t>
      </w:r>
      <w:r w:rsidRPr="009F4F2E">
        <w:t xml:space="preserve">adjusted by subtracting savings for measures that reach the end of their measure lives, using the same mechanism the utilities currently use as required by ISO-NE for forward capacity market reporting. </w:t>
      </w:r>
      <w:r w:rsidR="0077164F" w:rsidRPr="009F4F2E">
        <w:t>Bates 237</w:t>
      </w:r>
      <w:r w:rsidRPr="009F4F2E">
        <w:t xml:space="preserve"> and 238</w:t>
      </w:r>
      <w:r w:rsidR="0077164F" w:rsidRPr="009F4F2E">
        <w:t xml:space="preserve"> </w:t>
      </w:r>
      <w:r w:rsidR="00C7092F" w:rsidRPr="009F4F2E">
        <w:t xml:space="preserve">of the Utilities Three year Plan </w:t>
      </w:r>
      <w:r w:rsidR="0077164F" w:rsidRPr="009F4F2E">
        <w:t xml:space="preserve">provides a schedule of measure lifetimes for </w:t>
      </w:r>
      <w:r w:rsidRPr="009F4F2E">
        <w:t>Eversource’s C&amp;I programs</w:t>
      </w:r>
      <w:r w:rsidR="0077164F" w:rsidRPr="009F4F2E">
        <w:t>. As shown, the shortest measure life in the</w:t>
      </w:r>
      <w:r w:rsidRPr="009F4F2E">
        <w:t xml:space="preserve">se programs </w:t>
      </w:r>
      <w:r w:rsidR="0077164F" w:rsidRPr="009F4F2E">
        <w:t xml:space="preserve">is </w:t>
      </w:r>
      <w:r w:rsidRPr="009F4F2E">
        <w:t xml:space="preserve">a 9-year measure life for </w:t>
      </w:r>
      <w:r w:rsidR="0077164F" w:rsidRPr="009F4F2E">
        <w:t>Retro</w:t>
      </w:r>
      <w:r w:rsidRPr="009F4F2E">
        <w:t xml:space="preserve">fit Occupancy Sensors, </w:t>
      </w:r>
      <w:r w:rsidR="0077164F" w:rsidRPr="009F4F2E">
        <w:t xml:space="preserve">meaning retirement adjustments for these measures </w:t>
      </w:r>
      <w:r w:rsidRPr="009F4F2E">
        <w:t>installed in 2019 would not occur until 2028</w:t>
      </w:r>
      <w:r w:rsidR="0077164F" w:rsidRPr="009F4F2E">
        <w:t xml:space="preserve">. </w:t>
      </w:r>
      <w:r w:rsidR="00A7732A" w:rsidRPr="009F4F2E">
        <w:t>Per Settlement Agreement DE 15-137, “retirement adjustments will be made to savings achieved due to expired measures, and shall apply to measures installed on or after January 1, 2017. Savings associated with an expired measure will be removed from the lost revenues calculation on the ending date of the measure's estimated useful life. Adjustments to savings from evaluation, mon</w:t>
      </w:r>
      <w:r w:rsidR="007D04A3" w:rsidRPr="009F4F2E">
        <w:t>itoring, and verification ("EM&amp;</w:t>
      </w:r>
      <w:r w:rsidR="00A7732A" w:rsidRPr="009F4F2E">
        <w:t xml:space="preserve">V") studies shall be included in the calculation of lost revenues for measures installed in the following program year.” As such, if </w:t>
      </w:r>
      <w:r w:rsidR="00912F32" w:rsidRPr="009F4F2E">
        <w:t>a measure’s life is altered via an EM&amp;V study, all measures installed in the subsequent calendar year will have the new measure life applied, while all measures installed up to that point will have the old measure life applied.</w:t>
      </w:r>
      <w:r w:rsidR="000D2F56" w:rsidRPr="009F4F2E">
        <w:rPr>
          <w:rStyle w:val="FootnoteReference"/>
        </w:rPr>
        <w:footnoteReference w:id="19"/>
      </w:r>
    </w:p>
    <w:p w:rsidR="006238DD" w:rsidRPr="009F4F2E" w:rsidRDefault="006238DD" w:rsidP="004F2C45">
      <w:pPr>
        <w:spacing w:after="0" w:line="240" w:lineRule="auto"/>
      </w:pPr>
      <w:r w:rsidRPr="009F4F2E">
        <w:t xml:space="preserve">  </w:t>
      </w:r>
    </w:p>
    <w:p w:rsidR="002C2EA0" w:rsidRPr="009F4F2E" w:rsidRDefault="004F2C45" w:rsidP="004F2C45">
      <w:pPr>
        <w:spacing w:after="0" w:line="240" w:lineRule="auto"/>
        <w:rPr>
          <w:rFonts w:cs="Calibri"/>
          <w:sz w:val="28"/>
          <w:szCs w:val="28"/>
        </w:rPr>
      </w:pPr>
      <w:r w:rsidRPr="009F4F2E">
        <w:rPr>
          <w:rFonts w:cs="Calibri"/>
          <w:sz w:val="28"/>
          <w:szCs w:val="28"/>
        </w:rPr>
        <w:t>V.</w:t>
      </w:r>
      <w:r w:rsidRPr="009F4F2E">
        <w:rPr>
          <w:rFonts w:cs="Calibri"/>
          <w:sz w:val="28"/>
          <w:szCs w:val="28"/>
        </w:rPr>
        <w:tab/>
      </w:r>
      <w:r w:rsidR="002C2EA0" w:rsidRPr="009F4F2E">
        <w:rPr>
          <w:rFonts w:cs="Calibri"/>
          <w:sz w:val="28"/>
          <w:szCs w:val="28"/>
        </w:rPr>
        <w:t>Derivation of Average Distribution Rates (ADR)</w:t>
      </w:r>
    </w:p>
    <w:p w:rsidR="004F2C45" w:rsidRPr="009F4F2E" w:rsidRDefault="004F2C45" w:rsidP="004F2C45">
      <w:pPr>
        <w:spacing w:after="0" w:line="240" w:lineRule="auto"/>
      </w:pPr>
    </w:p>
    <w:p w:rsidR="000E376A" w:rsidRPr="009F4F2E" w:rsidRDefault="004F2C45" w:rsidP="004F2C45">
      <w:pPr>
        <w:pStyle w:val="Heading3"/>
        <w:numPr>
          <w:ilvl w:val="0"/>
          <w:numId w:val="0"/>
        </w:numPr>
        <w:spacing w:before="0" w:after="0" w:line="240" w:lineRule="auto"/>
        <w:ind w:firstLine="720"/>
        <w:rPr>
          <w:rFonts w:ascii="Calibri" w:hAnsi="Calibri"/>
          <w:sz w:val="26"/>
          <w:szCs w:val="26"/>
        </w:rPr>
      </w:pPr>
      <w:r w:rsidRPr="009F4F2E">
        <w:rPr>
          <w:rFonts w:ascii="Calibri" w:hAnsi="Calibri"/>
          <w:sz w:val="26"/>
          <w:szCs w:val="26"/>
        </w:rPr>
        <w:t>A.</w:t>
      </w:r>
      <w:r w:rsidRPr="009F4F2E">
        <w:rPr>
          <w:rFonts w:ascii="Calibri" w:hAnsi="Calibri"/>
          <w:sz w:val="26"/>
          <w:szCs w:val="26"/>
        </w:rPr>
        <w:tab/>
      </w:r>
      <w:r w:rsidR="00557A82" w:rsidRPr="009F4F2E">
        <w:rPr>
          <w:rFonts w:ascii="Calibri" w:hAnsi="Calibri"/>
          <w:sz w:val="26"/>
          <w:szCs w:val="26"/>
        </w:rPr>
        <w:t xml:space="preserve">Description:  </w:t>
      </w:r>
      <w:r w:rsidR="000E376A" w:rsidRPr="009F4F2E">
        <w:rPr>
          <w:rFonts w:ascii="Calibri" w:hAnsi="Calibri"/>
          <w:sz w:val="26"/>
          <w:szCs w:val="26"/>
        </w:rPr>
        <w:t xml:space="preserve">How </w:t>
      </w:r>
      <w:r w:rsidR="00557A82" w:rsidRPr="009F4F2E">
        <w:rPr>
          <w:rFonts w:ascii="Calibri" w:hAnsi="Calibri"/>
          <w:sz w:val="26"/>
          <w:szCs w:val="26"/>
        </w:rPr>
        <w:t>is</w:t>
      </w:r>
      <w:r w:rsidR="000E376A" w:rsidRPr="009F4F2E">
        <w:rPr>
          <w:rFonts w:ascii="Calibri" w:hAnsi="Calibri"/>
          <w:sz w:val="26"/>
          <w:szCs w:val="26"/>
        </w:rPr>
        <w:t xml:space="preserve"> </w:t>
      </w:r>
      <w:r w:rsidR="00200926">
        <w:rPr>
          <w:rFonts w:ascii="Calibri" w:hAnsi="Calibri"/>
          <w:sz w:val="26"/>
          <w:szCs w:val="26"/>
          <w:lang w:val="en-US"/>
        </w:rPr>
        <w:t xml:space="preserve">LBR </w:t>
      </w:r>
      <w:r w:rsidR="000E376A" w:rsidRPr="009F4F2E">
        <w:rPr>
          <w:rFonts w:ascii="Calibri" w:hAnsi="Calibri"/>
          <w:sz w:val="26"/>
          <w:szCs w:val="26"/>
        </w:rPr>
        <w:t>ADR calculated</w:t>
      </w:r>
    </w:p>
    <w:p w:rsidR="004F2C45" w:rsidRPr="009F4F2E" w:rsidRDefault="004F2C45" w:rsidP="004F2C45">
      <w:pPr>
        <w:spacing w:after="0" w:line="240" w:lineRule="auto"/>
      </w:pPr>
    </w:p>
    <w:p w:rsidR="00EF1A5F" w:rsidRPr="009F4F2E" w:rsidRDefault="00912F32" w:rsidP="004F2C45">
      <w:pPr>
        <w:spacing w:after="0" w:line="240" w:lineRule="auto"/>
      </w:pPr>
      <w:r w:rsidRPr="009F4F2E">
        <w:t xml:space="preserve">The </w:t>
      </w:r>
      <w:r w:rsidR="00200926">
        <w:t xml:space="preserve">LBR ADR </w:t>
      </w:r>
      <w:r w:rsidRPr="009F4F2E">
        <w:t xml:space="preserve">is </w:t>
      </w:r>
      <w:r w:rsidR="00443FC4" w:rsidRPr="009F4F2E">
        <w:t xml:space="preserve">equal to </w:t>
      </w:r>
      <w:r w:rsidRPr="009F4F2E">
        <w:t xml:space="preserve">the distribution revenue of a utility (e.g., revenues from kWh and kW rates) divided by consumption (e.g., kWh and kW consumption).  </w:t>
      </w:r>
      <w:r w:rsidR="00EF1A5F" w:rsidRPr="009F4F2E">
        <w:t xml:space="preserve">For lost base revenue calculated with savings </w:t>
      </w:r>
      <w:r w:rsidR="00664266" w:rsidRPr="009F4F2E">
        <w:t>from</w:t>
      </w:r>
      <w:r w:rsidR="00EF1A5F" w:rsidRPr="009F4F2E">
        <w:t xml:space="preserve"> measures installed in 2018, kWh and kW revenue will be combined and divided by kWh to calculate a single ADR for each sector. For lost base revenue calculated based on savings for measures installed in 2019 and 2020, there will be separate kWh and kW </w:t>
      </w:r>
      <w:r w:rsidR="000303A8">
        <w:t xml:space="preserve">LBR ADR </w:t>
      </w:r>
      <w:r w:rsidR="00EF1A5F" w:rsidRPr="009F4F2E">
        <w:t xml:space="preserve"> Rates for each sector</w:t>
      </w:r>
      <w:r w:rsidR="009D77E7" w:rsidRPr="009F4F2E">
        <w:t>, where applicable</w:t>
      </w:r>
      <w:r w:rsidR="00EF1A5F" w:rsidRPr="009F4F2E">
        <w:t xml:space="preserve">. Note that the </w:t>
      </w:r>
      <w:r w:rsidR="000303A8">
        <w:t xml:space="preserve">LBR </w:t>
      </w:r>
      <w:r w:rsidR="001E330C">
        <w:t>ADR r</w:t>
      </w:r>
      <w:r w:rsidR="001E330C" w:rsidRPr="009F4F2E">
        <w:t>ates</w:t>
      </w:r>
      <w:r w:rsidR="00EF1A5F" w:rsidRPr="009F4F2E">
        <w:t xml:space="preserve"> differ from utility to utility.</w:t>
      </w:r>
      <w:r w:rsidR="000D2F56" w:rsidRPr="009F4F2E">
        <w:rPr>
          <w:rStyle w:val="FootnoteReference"/>
        </w:rPr>
        <w:footnoteReference w:id="20"/>
      </w:r>
    </w:p>
    <w:p w:rsidR="000E376A" w:rsidRPr="009F4F2E" w:rsidRDefault="004F2C45" w:rsidP="00BB0F2A">
      <w:pPr>
        <w:pStyle w:val="Heading3"/>
        <w:numPr>
          <w:ilvl w:val="0"/>
          <w:numId w:val="0"/>
        </w:numPr>
        <w:ind w:firstLine="720"/>
        <w:rPr>
          <w:rFonts w:ascii="Calibri" w:hAnsi="Calibri"/>
          <w:sz w:val="26"/>
          <w:szCs w:val="26"/>
        </w:rPr>
      </w:pPr>
      <w:r w:rsidRPr="009F4F2E">
        <w:rPr>
          <w:rFonts w:ascii="Calibri" w:hAnsi="Calibri"/>
          <w:sz w:val="26"/>
          <w:szCs w:val="26"/>
        </w:rPr>
        <w:t>B.</w:t>
      </w:r>
      <w:r w:rsidRPr="009F4F2E">
        <w:rPr>
          <w:rFonts w:ascii="Calibri" w:hAnsi="Calibri"/>
          <w:sz w:val="26"/>
          <w:szCs w:val="26"/>
        </w:rPr>
        <w:tab/>
      </w:r>
      <w:r w:rsidR="00557A82" w:rsidRPr="009F4F2E">
        <w:rPr>
          <w:rFonts w:ascii="Calibri" w:hAnsi="Calibri"/>
          <w:sz w:val="26"/>
          <w:szCs w:val="26"/>
        </w:rPr>
        <w:t>D</w:t>
      </w:r>
      <w:r w:rsidR="00F472B6" w:rsidRPr="009F4F2E">
        <w:rPr>
          <w:rFonts w:ascii="Calibri" w:hAnsi="Calibri"/>
          <w:sz w:val="26"/>
          <w:szCs w:val="26"/>
        </w:rPr>
        <w:t xml:space="preserve">istribution Rates and </w:t>
      </w:r>
      <w:r w:rsidR="000E376A" w:rsidRPr="009F4F2E">
        <w:rPr>
          <w:rFonts w:ascii="Calibri" w:hAnsi="Calibri"/>
          <w:sz w:val="26"/>
          <w:szCs w:val="26"/>
        </w:rPr>
        <w:t>Billing Determinants used in the ADR calculation (</w:t>
      </w:r>
      <w:r w:rsidR="00557A82" w:rsidRPr="009F4F2E">
        <w:rPr>
          <w:rFonts w:ascii="Calibri" w:hAnsi="Calibri"/>
          <w:sz w:val="26"/>
          <w:szCs w:val="26"/>
        </w:rPr>
        <w:t>i.e.</w:t>
      </w:r>
      <w:r w:rsidR="000E376A" w:rsidRPr="009F4F2E">
        <w:rPr>
          <w:rFonts w:ascii="Calibri" w:hAnsi="Calibri"/>
          <w:sz w:val="26"/>
          <w:szCs w:val="26"/>
        </w:rPr>
        <w:t>: vintage)</w:t>
      </w:r>
    </w:p>
    <w:p w:rsidR="00BB0F2A" w:rsidRPr="009F4F2E" w:rsidRDefault="00F472B6" w:rsidP="00BB0F2A">
      <w:pPr>
        <w:rPr>
          <w:sz w:val="26"/>
          <w:szCs w:val="26"/>
        </w:rPr>
      </w:pPr>
      <w:r w:rsidRPr="009F4F2E">
        <w:t>Generally, distribution r</w:t>
      </w:r>
      <w:r w:rsidR="00D159CC" w:rsidRPr="009F4F2E">
        <w:t>ates in effect at the time of the forecasted LBR plan shall be used for creating the LBR forecast.</w:t>
      </w:r>
      <w:r w:rsidR="002201AE" w:rsidRPr="009F4F2E">
        <w:t xml:space="preserve"> The forecast will also include the most recent calendar year of billing determinants.</w:t>
      </w:r>
      <w:r w:rsidR="00D159CC" w:rsidRPr="009F4F2E">
        <w:t xml:space="preserve"> Upon reconciliation of LBR and calculating the actual LBR to be recovered, </w:t>
      </w:r>
      <w:r w:rsidR="00C76D24" w:rsidRPr="009F4F2E">
        <w:t xml:space="preserve">billing determinants and </w:t>
      </w:r>
      <w:r w:rsidR="00D159CC" w:rsidRPr="009F4F2E">
        <w:t>rates in effect during the calendar year covered shall be used.</w:t>
      </w:r>
      <w:r w:rsidR="00C76D24" w:rsidRPr="009F4F2E">
        <w:t xml:space="preserve">   Thus, 2017 billing determinants and rates will be used for calculating actual 2017 LBR. The lost revenue calculation for 2017 will use 2017 EE savings (the first year lost revenue is assessed) and 2017 rates and tariffs. The 2018 lost revenue calculation will use 2017+2018 EE savings and 2018 rates and tariffs, if different, as all of these savings would have been billed under 2018 rates and tariffs. Future years will continue to be calculated in a similar manner, less any retired measures</w:t>
      </w:r>
      <w:r w:rsidR="00DF3B74" w:rsidRPr="009F4F2E">
        <w:t xml:space="preserve">’ </w:t>
      </w:r>
      <w:r w:rsidR="002201AE" w:rsidRPr="009F4F2E">
        <w:t>savings</w:t>
      </w:r>
      <w:r w:rsidR="00C76D24" w:rsidRPr="009F4F2E">
        <w:t>.</w:t>
      </w:r>
    </w:p>
    <w:p w:rsidR="00557A82" w:rsidRPr="009F4F2E" w:rsidRDefault="00BB0F2A" w:rsidP="00BB0F2A">
      <w:pPr>
        <w:ind w:firstLine="720"/>
        <w:rPr>
          <w:sz w:val="26"/>
          <w:szCs w:val="26"/>
        </w:rPr>
      </w:pPr>
      <w:r w:rsidRPr="009F4F2E">
        <w:rPr>
          <w:sz w:val="26"/>
          <w:szCs w:val="26"/>
        </w:rPr>
        <w:t xml:space="preserve">C. </w:t>
      </w:r>
      <w:r w:rsidR="00557A82" w:rsidRPr="009F4F2E">
        <w:rPr>
          <w:sz w:val="26"/>
          <w:szCs w:val="26"/>
        </w:rPr>
        <w:t>Summar</w:t>
      </w:r>
      <w:r w:rsidR="00BE2C23" w:rsidRPr="009F4F2E">
        <w:rPr>
          <w:sz w:val="26"/>
          <w:szCs w:val="26"/>
        </w:rPr>
        <w:t>y</w:t>
      </w:r>
      <w:r w:rsidR="00557A82" w:rsidRPr="009F4F2E">
        <w:rPr>
          <w:sz w:val="26"/>
          <w:szCs w:val="26"/>
        </w:rPr>
        <w:t xml:space="preserve"> </w:t>
      </w:r>
      <w:r w:rsidR="00BE2C23" w:rsidRPr="009F4F2E">
        <w:rPr>
          <w:sz w:val="26"/>
          <w:szCs w:val="26"/>
        </w:rPr>
        <w:t xml:space="preserve">of </w:t>
      </w:r>
      <w:r w:rsidR="00E8123E" w:rsidRPr="009F4F2E">
        <w:rPr>
          <w:sz w:val="26"/>
          <w:szCs w:val="26"/>
        </w:rPr>
        <w:t xml:space="preserve">LBR and </w:t>
      </w:r>
      <w:r w:rsidR="00557A82" w:rsidRPr="009F4F2E">
        <w:rPr>
          <w:sz w:val="26"/>
          <w:szCs w:val="26"/>
        </w:rPr>
        <w:t>ADR s</w:t>
      </w:r>
      <w:r w:rsidR="00E8123E" w:rsidRPr="009F4F2E">
        <w:rPr>
          <w:sz w:val="26"/>
          <w:szCs w:val="26"/>
        </w:rPr>
        <w:t>ch</w:t>
      </w:r>
      <w:r w:rsidR="006E2E20" w:rsidRPr="009F4F2E">
        <w:rPr>
          <w:sz w:val="26"/>
          <w:szCs w:val="26"/>
        </w:rPr>
        <w:t xml:space="preserve">edules (attached in Appendices </w:t>
      </w:r>
      <w:r w:rsidR="002C7580" w:rsidRPr="009F4F2E">
        <w:rPr>
          <w:sz w:val="26"/>
          <w:szCs w:val="26"/>
        </w:rPr>
        <w:t>A</w:t>
      </w:r>
      <w:r w:rsidR="00E8123E" w:rsidRPr="009F4F2E">
        <w:rPr>
          <w:sz w:val="26"/>
          <w:szCs w:val="26"/>
        </w:rPr>
        <w:t xml:space="preserve"> and</w:t>
      </w:r>
      <w:r w:rsidR="0068674C" w:rsidRPr="009F4F2E">
        <w:rPr>
          <w:sz w:val="26"/>
          <w:szCs w:val="26"/>
        </w:rPr>
        <w:t xml:space="preserve"> </w:t>
      </w:r>
      <w:r w:rsidR="002C7580" w:rsidRPr="009F4F2E">
        <w:rPr>
          <w:sz w:val="26"/>
          <w:szCs w:val="26"/>
        </w:rPr>
        <w:t>D</w:t>
      </w:r>
      <w:r w:rsidR="00557A82" w:rsidRPr="009F4F2E">
        <w:rPr>
          <w:sz w:val="26"/>
          <w:szCs w:val="26"/>
        </w:rPr>
        <w:t>).</w:t>
      </w:r>
    </w:p>
    <w:p w:rsidR="00E8123E" w:rsidRPr="009F4F2E" w:rsidRDefault="007D04A3" w:rsidP="00E8123E">
      <w:r w:rsidRPr="009F4F2E">
        <w:t xml:space="preserve">Appendix </w:t>
      </w:r>
      <w:r w:rsidR="00B67B7C" w:rsidRPr="009F4F2E">
        <w:t>A</w:t>
      </w:r>
      <w:r w:rsidRPr="009F4F2E">
        <w:t xml:space="preserve"> illustrates the estimated savings to be achieved for program years 2019 and 2020, and how they are calculated.</w:t>
      </w:r>
      <w:r w:rsidR="00E8123E" w:rsidRPr="009F4F2E">
        <w:t xml:space="preserve">  </w:t>
      </w:r>
    </w:p>
    <w:p w:rsidR="00E8123E" w:rsidRPr="009F4F2E" w:rsidRDefault="00E8123E" w:rsidP="00E8123E">
      <w:r w:rsidRPr="009F4F2E">
        <w:t xml:space="preserve">The calculation of </w:t>
      </w:r>
      <w:r w:rsidR="000303A8">
        <w:t>LBR ADR</w:t>
      </w:r>
      <w:r w:rsidRPr="009F4F2E">
        <w:t xml:space="preserve"> is provided by utility in Appendix </w:t>
      </w:r>
      <w:r w:rsidR="00B67B7C" w:rsidRPr="009F4F2E">
        <w:t>D</w:t>
      </w:r>
      <w:r w:rsidRPr="009F4F2E">
        <w:t xml:space="preserve"> for illustration.  As indicated above, generally, distribution rates in effect at the time of the forecasted LBR plan shall be used for creating the LBR forecast as well as the most recent calendar year of billing determinants.</w:t>
      </w:r>
    </w:p>
    <w:p w:rsidR="00E8123E" w:rsidRPr="009F4F2E" w:rsidRDefault="00E8123E" w:rsidP="00E8123E">
      <w:r w:rsidRPr="009F4F2E">
        <w:t xml:space="preserve">As shown, the </w:t>
      </w:r>
      <w:r w:rsidR="000303A8">
        <w:t xml:space="preserve">LBR ADR </w:t>
      </w:r>
      <w:r w:rsidRPr="009F4F2E">
        <w:t xml:space="preserve"> </w:t>
      </w:r>
      <w:r w:rsidR="000303A8">
        <w:t>r</w:t>
      </w:r>
      <w:r w:rsidRPr="009F4F2E">
        <w:t xml:space="preserve">ates are calculated by sector by taking the sector’s distribution revenue divided by the sector’s usage. For lost base revenue calculated with savings for measures installed in 2017 and 2018, kWh and kW revenue are combined and divided by kWh to calculate a single ADR for each sector. For lost base revenue calculated based on savings for measures installed in 2019 and 2020, there are separate kWh and kW </w:t>
      </w:r>
      <w:r w:rsidR="000303A8">
        <w:t xml:space="preserve">ADR </w:t>
      </w:r>
      <w:r w:rsidRPr="009F4F2E">
        <w:t xml:space="preserve"> </w:t>
      </w:r>
      <w:r w:rsidR="000303A8">
        <w:t>r</w:t>
      </w:r>
      <w:r w:rsidRPr="009F4F2E">
        <w:t xml:space="preserve">ates for each sector. </w:t>
      </w:r>
    </w:p>
    <w:p w:rsidR="00235079" w:rsidRPr="009F4F2E" w:rsidRDefault="006421A9" w:rsidP="00BB0F2A">
      <w:pPr>
        <w:spacing w:after="0" w:line="240" w:lineRule="auto"/>
      </w:pPr>
      <w:r w:rsidRPr="009F4F2E">
        <w:t>When actual</w:t>
      </w:r>
      <w:r w:rsidR="00D33632" w:rsidRPr="009F4F2E">
        <w:t xml:space="preserve"> LBR is </w:t>
      </w:r>
      <w:r w:rsidRPr="009F4F2E">
        <w:t xml:space="preserve">calculated, the relevant period for both rates and billing determinants will be used. For example, 2017 LBR </w:t>
      </w:r>
      <w:r w:rsidR="000303A8">
        <w:t xml:space="preserve">ADR </w:t>
      </w:r>
      <w:r w:rsidRPr="009F4F2E">
        <w:t>will use 2017 billing determinants and 2017 distribution rates.</w:t>
      </w:r>
    </w:p>
    <w:p w:rsidR="00672425" w:rsidRPr="009F4F2E" w:rsidRDefault="00672425" w:rsidP="00BB0F2A">
      <w:pPr>
        <w:spacing w:after="0" w:line="240" w:lineRule="auto"/>
        <w:rPr>
          <w:rFonts w:eastAsia="Times New Roman" w:cs="Calibri"/>
          <w:sz w:val="28"/>
          <w:szCs w:val="28"/>
        </w:rPr>
      </w:pPr>
    </w:p>
    <w:p w:rsidR="00B866A8" w:rsidRPr="009F4F2E" w:rsidRDefault="00BB0F2A" w:rsidP="00BB0F2A">
      <w:pPr>
        <w:pStyle w:val="Heading1"/>
        <w:numPr>
          <w:ilvl w:val="0"/>
          <w:numId w:val="0"/>
        </w:numPr>
        <w:spacing w:before="0" w:line="240" w:lineRule="auto"/>
        <w:rPr>
          <w:rFonts w:ascii="Calibri" w:hAnsi="Calibri" w:cs="Calibri"/>
          <w:color w:val="auto"/>
          <w:sz w:val="28"/>
          <w:szCs w:val="28"/>
        </w:rPr>
      </w:pPr>
      <w:r w:rsidRPr="009F4F2E">
        <w:rPr>
          <w:rFonts w:ascii="Calibri" w:hAnsi="Calibri" w:cs="Calibri"/>
          <w:color w:val="auto"/>
          <w:sz w:val="28"/>
          <w:szCs w:val="28"/>
        </w:rPr>
        <w:t>VI.</w:t>
      </w:r>
      <w:r w:rsidRPr="009F4F2E">
        <w:rPr>
          <w:rFonts w:ascii="Calibri" w:hAnsi="Calibri" w:cs="Calibri"/>
          <w:color w:val="auto"/>
          <w:sz w:val="28"/>
          <w:szCs w:val="28"/>
        </w:rPr>
        <w:tab/>
      </w:r>
      <w:r w:rsidR="00B866A8" w:rsidRPr="009F4F2E">
        <w:rPr>
          <w:rFonts w:ascii="Calibri" w:hAnsi="Calibri" w:cs="Calibri"/>
          <w:color w:val="auto"/>
          <w:sz w:val="28"/>
          <w:szCs w:val="28"/>
        </w:rPr>
        <w:t>Discussion of Ratchets</w:t>
      </w:r>
    </w:p>
    <w:p w:rsidR="00BB0F2A" w:rsidRPr="009F4F2E" w:rsidRDefault="00BB0F2A" w:rsidP="00BB0F2A">
      <w:pPr>
        <w:pStyle w:val="Heading1"/>
        <w:numPr>
          <w:ilvl w:val="0"/>
          <w:numId w:val="0"/>
        </w:numPr>
        <w:spacing w:before="0" w:line="240" w:lineRule="auto"/>
        <w:ind w:firstLine="720"/>
        <w:rPr>
          <w:rFonts w:ascii="Calibri" w:eastAsia="Calibri" w:hAnsi="Calibri"/>
          <w:color w:val="auto"/>
          <w:sz w:val="22"/>
          <w:szCs w:val="22"/>
        </w:rPr>
      </w:pPr>
    </w:p>
    <w:p w:rsidR="00B866A8" w:rsidRPr="009F4F2E" w:rsidRDefault="00B866A8" w:rsidP="00BB0F2A">
      <w:pPr>
        <w:pStyle w:val="Heading1"/>
        <w:numPr>
          <w:ilvl w:val="0"/>
          <w:numId w:val="0"/>
        </w:numPr>
        <w:spacing w:before="0" w:line="240" w:lineRule="auto"/>
        <w:ind w:firstLine="720"/>
        <w:rPr>
          <w:rFonts w:ascii="Calibri" w:eastAsia="Calibri" w:hAnsi="Calibri"/>
          <w:color w:val="auto"/>
          <w:sz w:val="22"/>
          <w:szCs w:val="22"/>
        </w:rPr>
      </w:pPr>
      <w:r w:rsidRPr="009F4F2E">
        <w:rPr>
          <w:rFonts w:ascii="Calibri" w:eastAsia="Calibri" w:hAnsi="Calibri"/>
          <w:color w:val="auto"/>
          <w:sz w:val="22"/>
          <w:szCs w:val="22"/>
        </w:rPr>
        <w:t xml:space="preserve">The working group was tasked with considering the general impact of demand charge ratchets.  A description of each utility’s ratchet provision and discussion of impact to kW savings from energy efficiency measures is provided below.  </w:t>
      </w:r>
    </w:p>
    <w:p w:rsidR="00B866A8" w:rsidRPr="009F4F2E" w:rsidRDefault="00B866A8" w:rsidP="00B866A8">
      <w:pPr>
        <w:pStyle w:val="Heading1"/>
        <w:numPr>
          <w:ilvl w:val="0"/>
          <w:numId w:val="0"/>
        </w:numPr>
        <w:ind w:firstLine="720"/>
        <w:rPr>
          <w:rFonts w:ascii="Calibri" w:eastAsia="Calibri" w:hAnsi="Calibri"/>
          <w:color w:val="auto"/>
          <w:sz w:val="22"/>
          <w:szCs w:val="22"/>
        </w:rPr>
      </w:pPr>
      <w:r w:rsidRPr="009F4F2E">
        <w:rPr>
          <w:rFonts w:ascii="Calibri" w:eastAsia="Calibri" w:hAnsi="Calibri"/>
          <w:b/>
          <w:color w:val="auto"/>
          <w:sz w:val="22"/>
          <w:szCs w:val="22"/>
        </w:rPr>
        <w:t>Eversource</w:t>
      </w:r>
      <w:r w:rsidRPr="009F4F2E">
        <w:rPr>
          <w:rFonts w:ascii="Calibri" w:eastAsia="Calibri" w:hAnsi="Calibri"/>
          <w:color w:val="auto"/>
          <w:sz w:val="22"/>
          <w:szCs w:val="22"/>
        </w:rPr>
        <w:t>: For Eversource, only LG customers are potentially impacted by a ratchet. Please refer to page 67 of Eversource’s Tariff No. 9 for how demand is billed for these customers. Eversource’s analysis of customers billed under its ratchet concluded that ratchets had a 0% impact from energy efficiency measures. No ratchet adjustment is necessary.</w:t>
      </w:r>
    </w:p>
    <w:p w:rsidR="00B866A8" w:rsidRPr="009F4F2E" w:rsidRDefault="00B866A8" w:rsidP="00B866A8">
      <w:pPr>
        <w:pStyle w:val="Heading1"/>
        <w:numPr>
          <w:ilvl w:val="0"/>
          <w:numId w:val="0"/>
        </w:numPr>
        <w:ind w:firstLine="720"/>
        <w:rPr>
          <w:rFonts w:ascii="Calibri" w:eastAsia="Calibri" w:hAnsi="Calibri"/>
          <w:color w:val="auto"/>
          <w:sz w:val="22"/>
          <w:szCs w:val="22"/>
        </w:rPr>
      </w:pPr>
      <w:r w:rsidRPr="009F4F2E">
        <w:rPr>
          <w:rFonts w:ascii="Calibri" w:eastAsia="Calibri" w:hAnsi="Calibri"/>
          <w:b/>
          <w:color w:val="auto"/>
          <w:sz w:val="22"/>
          <w:szCs w:val="22"/>
        </w:rPr>
        <w:t>Unitil</w:t>
      </w:r>
      <w:r w:rsidRPr="009F4F2E">
        <w:rPr>
          <w:rFonts w:ascii="Calibri" w:eastAsia="Calibri" w:hAnsi="Calibri"/>
          <w:color w:val="auto"/>
          <w:sz w:val="22"/>
          <w:szCs w:val="22"/>
        </w:rPr>
        <w:t xml:space="preserve">:  For Unitil, only its G1 class (customers with average use equal or in excess of 200 kVA and generally greater than or equal to 100,000 kWh each month) includes a ratchet provision.  G1 customers are billed the highest of a) current month's peak 15 min. kVA or b) 80% of previous 11 month's peak 15 min. kVA.  The data provided in Appendix D shows the effect of the ratchet on kVA billed to G1 customers who participated in energy efficiency in 2017. </w:t>
      </w:r>
    </w:p>
    <w:p w:rsidR="00B866A8" w:rsidRPr="009F4F2E" w:rsidRDefault="00B866A8" w:rsidP="00BB0F2A">
      <w:pPr>
        <w:pStyle w:val="Heading1"/>
        <w:numPr>
          <w:ilvl w:val="0"/>
          <w:numId w:val="0"/>
        </w:numPr>
        <w:spacing w:before="0" w:line="240" w:lineRule="auto"/>
        <w:ind w:firstLine="720"/>
        <w:rPr>
          <w:rFonts w:ascii="Calibri" w:eastAsia="Calibri" w:hAnsi="Calibri"/>
          <w:color w:val="auto"/>
          <w:sz w:val="22"/>
          <w:szCs w:val="22"/>
        </w:rPr>
      </w:pPr>
      <w:r w:rsidRPr="009F4F2E">
        <w:rPr>
          <w:rFonts w:ascii="Calibri" w:eastAsia="Calibri" w:hAnsi="Calibri"/>
          <w:color w:val="auto"/>
          <w:sz w:val="22"/>
          <w:szCs w:val="22"/>
        </w:rPr>
        <w:t xml:space="preserve">As shown, ratcheted kVa for these customers is 5% higher than the metered kVa. Note that sector demand savings also include the G2 class which does not have a demand ratchet.  However, this does not necessarily mean that installed energy efficiency demand savings were 5% lower due to the ratchet. For instance, a customer could be billed on a ratchet in the early part of the year and then complete an energy efficiency project in the middle of the year. The impact of the ratchet is still included in the percentage calculation although the ratchet and energy efficiency project have no relation to each other. In a second example, suppose a customer completes an energy efficiency project early in the year, but then later in the year, is billed on a ratchet due to a high summer peak caused by weather. The summer peak was still lower by the amount of the installed energy efficiency project thus the Company still lost revenue even though the ratchet was implicated. Even in instances where a ratchet may be billed for an entire year, an energy efficiency project would have had an impact on what that ratcheted demand was ‐‐ if not during the current year, then in the following year, since the ratchet only looks back 11 months.  As agreed to in the settlement establishing this working group, it is not feasible to identify the impacts with precision and not feasible to track demand charge impacts on a customer by customer basis. Overall, the ratchet only comes into play for 4 months on average, and is very small in percentage terms, thus </w:t>
      </w:r>
      <w:r w:rsidR="00D33632" w:rsidRPr="009F4F2E">
        <w:rPr>
          <w:rFonts w:ascii="Calibri" w:eastAsia="Calibri" w:hAnsi="Calibri"/>
          <w:color w:val="auto"/>
          <w:sz w:val="22"/>
          <w:szCs w:val="22"/>
        </w:rPr>
        <w:t xml:space="preserve">Unitil </w:t>
      </w:r>
      <w:r w:rsidRPr="009F4F2E">
        <w:rPr>
          <w:rFonts w:ascii="Calibri" w:eastAsia="Calibri" w:hAnsi="Calibri"/>
          <w:color w:val="auto"/>
          <w:sz w:val="22"/>
          <w:szCs w:val="22"/>
        </w:rPr>
        <w:t>determined that no ratchet adjustment to demand savings is necessary.</w:t>
      </w:r>
    </w:p>
    <w:p w:rsidR="00E24C26" w:rsidRPr="009F4F2E" w:rsidRDefault="00E24C26" w:rsidP="00BB0F2A">
      <w:pPr>
        <w:spacing w:after="0" w:line="240" w:lineRule="auto"/>
      </w:pPr>
    </w:p>
    <w:p w:rsidR="00B67B7C" w:rsidRPr="009F4F2E" w:rsidRDefault="00B866A8" w:rsidP="00F934C7">
      <w:pPr>
        <w:spacing w:after="0" w:line="240" w:lineRule="auto"/>
        <w:ind w:firstLine="720"/>
      </w:pPr>
      <w:r w:rsidRPr="009F4F2E">
        <w:rPr>
          <w:b/>
        </w:rPr>
        <w:t>Liberty</w:t>
      </w:r>
      <w:r w:rsidRPr="009F4F2E">
        <w:t>: For Liberty, its G-1 and G-2 rate classes include a monthly ratchet.  The Company is in the process of reviewing whether or not it is appropriate for the G-2 rate class (customers with monthly usage of 20 kW to 200 kW) to include the ratchet and will be addressing the ratchet in its next rate case, to be filed in 2019. The calculation of the ratchet is provided in Granite State Electric’s Tariff No. 20 on page 98 for Rate G-1 and page 101 for Rate G-2.</w:t>
      </w:r>
      <w:r w:rsidR="00B53297" w:rsidRPr="009F4F2E">
        <w:t xml:space="preserve"> Liberty reviewed the Rate G-1 customers billed on a ratchet in 2017 who also received energy efficiency funds for projects. The review </w:t>
      </w:r>
      <w:r w:rsidR="00D33632" w:rsidRPr="009F4F2E">
        <w:t xml:space="preserve">showed </w:t>
      </w:r>
      <w:r w:rsidR="00B53297" w:rsidRPr="009F4F2E">
        <w:t>there were 11 out of 92 customers billed on a ratchet who received energy efficiency funds</w:t>
      </w:r>
      <w:r w:rsidR="0032690E" w:rsidRPr="009F4F2E">
        <w:t>.  The results showed that 3</w:t>
      </w:r>
      <w:r w:rsidR="00B53297" w:rsidRPr="009F4F2E">
        <w:t xml:space="preserve"> of the 11 did not incur a ratchet after the energy efficiency was installed. Liberty determined that the analysis was inconclusive because </w:t>
      </w:r>
      <w:r w:rsidR="0032690E" w:rsidRPr="009F4F2E">
        <w:t xml:space="preserve">3 </w:t>
      </w:r>
      <w:r w:rsidR="0021213B" w:rsidRPr="009F4F2E">
        <w:t>o</w:t>
      </w:r>
      <w:r w:rsidR="0032690E" w:rsidRPr="009F4F2E">
        <w:t>f the 8</w:t>
      </w:r>
      <w:r w:rsidR="0021213B" w:rsidRPr="009F4F2E">
        <w:t xml:space="preserve"> customers </w:t>
      </w:r>
      <w:r w:rsidR="0032690E" w:rsidRPr="009F4F2E">
        <w:t xml:space="preserve">who </w:t>
      </w:r>
      <w:r w:rsidR="0021213B" w:rsidRPr="009F4F2E">
        <w:t xml:space="preserve">received energy efficiency savings </w:t>
      </w:r>
      <w:r w:rsidR="0032690E" w:rsidRPr="009F4F2E">
        <w:t>and incurred a ratchet after the installations, had a ratchet that was less than the demand savings, thus the measures installed may have actually reduced the ratchet the customer could have incurred without the measures being installed</w:t>
      </w:r>
      <w:r w:rsidR="00B67B7C" w:rsidRPr="009F4F2E">
        <w:t xml:space="preserve"> .</w:t>
      </w:r>
      <w:r w:rsidR="00B67B7C" w:rsidRPr="009F4F2E">
        <w:rPr>
          <w:rStyle w:val="FootnoteReference"/>
        </w:rPr>
        <w:footnoteReference w:id="21"/>
      </w:r>
      <w:r w:rsidR="00B67B7C" w:rsidRPr="009F4F2E">
        <w:t xml:space="preserve"> </w:t>
      </w:r>
    </w:p>
    <w:p w:rsidR="00B866A8" w:rsidRPr="009F4F2E" w:rsidRDefault="0032690E" w:rsidP="00F934C7">
      <w:pPr>
        <w:spacing w:after="0" w:line="240" w:lineRule="auto"/>
        <w:ind w:firstLine="720"/>
      </w:pPr>
      <w:r w:rsidRPr="009F4F2E">
        <w:t xml:space="preserve"> </w:t>
      </w:r>
    </w:p>
    <w:p w:rsidR="00672425" w:rsidRPr="009F4F2E" w:rsidRDefault="005F6D77" w:rsidP="00F934C7">
      <w:pPr>
        <w:spacing w:after="0" w:line="240" w:lineRule="auto"/>
        <w:rPr>
          <w:rFonts w:cs="Calibri"/>
          <w:sz w:val="28"/>
          <w:szCs w:val="28"/>
        </w:rPr>
      </w:pPr>
      <w:r>
        <w:rPr>
          <w:rFonts w:cs="Calibri"/>
          <w:sz w:val="28"/>
          <w:szCs w:val="28"/>
        </w:rPr>
        <w:t xml:space="preserve">VII. </w:t>
      </w:r>
      <w:r w:rsidR="00B866A8" w:rsidRPr="009F4F2E">
        <w:rPr>
          <w:rFonts w:cs="Calibri"/>
          <w:sz w:val="28"/>
          <w:szCs w:val="28"/>
        </w:rPr>
        <w:t>Actual LBR Calculation</w:t>
      </w:r>
    </w:p>
    <w:p w:rsidR="00583541" w:rsidRPr="009F4F2E" w:rsidRDefault="00583541" w:rsidP="00F934C7">
      <w:pPr>
        <w:spacing w:after="0" w:line="240" w:lineRule="auto"/>
        <w:ind w:firstLine="720"/>
      </w:pPr>
    </w:p>
    <w:p w:rsidR="00B866A8" w:rsidRPr="009F4F2E" w:rsidRDefault="00663D23" w:rsidP="00527EA7">
      <w:pPr>
        <w:spacing w:after="0" w:line="240" w:lineRule="auto"/>
        <w:ind w:firstLine="720"/>
      </w:pPr>
      <w:r w:rsidRPr="009F4F2E">
        <w:t>T</w:t>
      </w:r>
      <w:r w:rsidR="00B866A8" w:rsidRPr="009F4F2E">
        <w:t xml:space="preserve">he </w:t>
      </w:r>
      <w:r w:rsidRPr="009F4F2E">
        <w:t>u</w:t>
      </w:r>
      <w:r w:rsidR="00B866A8" w:rsidRPr="009F4F2E">
        <w:t>tilities track the number of measures actually installed</w:t>
      </w:r>
      <w:r w:rsidRPr="009F4F2E">
        <w:t xml:space="preserve">, </w:t>
      </w:r>
      <w:r w:rsidR="00AA0D35" w:rsidRPr="009F4F2E">
        <w:t xml:space="preserve">starting in the month </w:t>
      </w:r>
      <w:r w:rsidR="00A7732A" w:rsidRPr="009F4F2E">
        <w:t>of</w:t>
      </w:r>
      <w:r w:rsidR="00AA0D35" w:rsidRPr="009F4F2E">
        <w:t xml:space="preserve"> </w:t>
      </w:r>
      <w:r w:rsidR="00B866A8" w:rsidRPr="009F4F2E">
        <w:t>the paid date</w:t>
      </w:r>
      <w:r w:rsidR="00AA0D35" w:rsidRPr="009F4F2E">
        <w:t xml:space="preserve"> for each measure. Beginning on January 1, 2019 the utilities will use the calculations described in Sections III and IV above to derive </w:t>
      </w:r>
      <w:r w:rsidR="00B866A8" w:rsidRPr="009F4F2E">
        <w:t>the associated lifetime and monthly kWh and kW savings</w:t>
      </w:r>
      <w:r w:rsidR="00A7732A" w:rsidRPr="009F4F2E">
        <w:t xml:space="preserve"> for installed measures</w:t>
      </w:r>
      <w:r w:rsidR="00B866A8" w:rsidRPr="009F4F2E">
        <w:t xml:space="preserve">. This data will be tracked </w:t>
      </w:r>
      <w:r w:rsidR="00AA0D35" w:rsidRPr="009F4F2E">
        <w:t xml:space="preserve">monthly, in the same manner as </w:t>
      </w:r>
      <w:r w:rsidR="00B866A8" w:rsidRPr="009F4F2E">
        <w:t xml:space="preserve">kWh </w:t>
      </w:r>
      <w:r w:rsidR="00AA0D35" w:rsidRPr="009F4F2E">
        <w:t xml:space="preserve">has been </w:t>
      </w:r>
      <w:r w:rsidR="00B866A8" w:rsidRPr="009F4F2E">
        <w:t>tracked for LBR in 2017</w:t>
      </w:r>
      <w:r w:rsidR="00AA0D35" w:rsidRPr="009F4F2E">
        <w:t xml:space="preserve"> and </w:t>
      </w:r>
      <w:r w:rsidR="00B866A8" w:rsidRPr="009F4F2E">
        <w:t xml:space="preserve">2018. </w:t>
      </w:r>
      <w:r w:rsidR="00BD4C3F" w:rsidRPr="009F4F2E">
        <w:t xml:space="preserve">In the utilities’ update filing made the following June (e.g. calendar year 2019 LBR will be filed in June 2020), the Actual LBR will be calculated and filed with the Commission. </w:t>
      </w:r>
      <w:r w:rsidR="00EA1226" w:rsidRPr="009F4F2E">
        <w:t xml:space="preserve">Legacy savings from measures installed in 2017 and 2018 will continue to have their LBR calculated in a manner consistent with the settlements approved in DE 15-137 and DE 14-216. More specifically, all 2017 and 2018 measures that have not yet been retired will have 100% of their kWh savings multiplied by an </w:t>
      </w:r>
      <w:r w:rsidR="000303A8">
        <w:t>LBR ADR</w:t>
      </w:r>
      <w:r w:rsidR="00EA1226" w:rsidRPr="009F4F2E">
        <w:t xml:space="preserve"> rate that combines the total demand and kWh charges into a single </w:t>
      </w:r>
      <w:r w:rsidR="000303A8">
        <w:t xml:space="preserve">LBR </w:t>
      </w:r>
      <w:r w:rsidR="00EA1226" w:rsidRPr="009F4F2E">
        <w:t xml:space="preserve">ADR per sector. </w:t>
      </w:r>
      <w:r w:rsidR="00BD4C3F" w:rsidRPr="009F4F2E">
        <w:t xml:space="preserve">In addition, </w:t>
      </w:r>
      <w:r w:rsidR="00A539B6" w:rsidRPr="009F4F2E">
        <w:t xml:space="preserve">100% of </w:t>
      </w:r>
      <w:r w:rsidR="00B866A8" w:rsidRPr="009F4F2E">
        <w:t xml:space="preserve">the </w:t>
      </w:r>
      <w:r w:rsidR="00BD4C3F" w:rsidRPr="009F4F2E">
        <w:t xml:space="preserve">program year’s </w:t>
      </w:r>
      <w:r w:rsidR="00B866A8" w:rsidRPr="009F4F2E">
        <w:t>monthly</w:t>
      </w:r>
      <w:r w:rsidR="00BD4C3F" w:rsidRPr="009F4F2E">
        <w:t xml:space="preserve"> installed</w:t>
      </w:r>
      <w:r w:rsidR="00B866A8" w:rsidRPr="009F4F2E">
        <w:t xml:space="preserve"> </w:t>
      </w:r>
      <w:r w:rsidR="00A539B6" w:rsidRPr="009F4F2E">
        <w:t>kWh and kW S</w:t>
      </w:r>
      <w:r w:rsidR="00B866A8" w:rsidRPr="009F4F2E">
        <w:t xml:space="preserve">avings will be tallied, and the resulting savings will be subject to the adjustments laid out within </w:t>
      </w:r>
      <w:r w:rsidR="007D04A3" w:rsidRPr="009F4F2E">
        <w:t xml:space="preserve">sections III and IV of </w:t>
      </w:r>
      <w:r w:rsidR="00B866A8" w:rsidRPr="009F4F2E">
        <w:t xml:space="preserve">this document. The savings will then each be multiplied by their respective sector </w:t>
      </w:r>
      <w:r w:rsidR="000303A8">
        <w:t xml:space="preserve">LBR </w:t>
      </w:r>
      <w:r w:rsidR="00B866A8" w:rsidRPr="009F4F2E">
        <w:t xml:space="preserve">ADR (defined above with illustrative calculations included in Appendix </w:t>
      </w:r>
      <w:r w:rsidR="007F7B9F">
        <w:t>D</w:t>
      </w:r>
      <w:r w:rsidR="00B866A8" w:rsidRPr="009F4F2E">
        <w:t>)</w:t>
      </w:r>
      <w:r w:rsidR="00A539B6" w:rsidRPr="009F4F2E">
        <w:t xml:space="preserve"> which will be updated </w:t>
      </w:r>
      <w:r w:rsidR="007D04A3" w:rsidRPr="009F4F2E">
        <w:t>each year</w:t>
      </w:r>
      <w:r w:rsidR="00A539B6" w:rsidRPr="009F4F2E">
        <w:t xml:space="preserve"> to reflect the rates in effect during the year in which the LBR is being collected</w:t>
      </w:r>
      <w:r w:rsidR="00B866A8" w:rsidRPr="009F4F2E">
        <w:t>. The sum of the calculations will then be taken to reach the Total Actual LBR</w:t>
      </w:r>
      <w:r w:rsidR="00AA0D35" w:rsidRPr="009F4F2E">
        <w:t>, which represents the total dollars that would have been collected absent the installed energy efficiency measures</w:t>
      </w:r>
      <w:r w:rsidR="00B866A8" w:rsidRPr="009F4F2E">
        <w:t xml:space="preserve">. </w:t>
      </w:r>
      <w:r w:rsidR="00A539B6" w:rsidRPr="009F4F2E">
        <w:t>For</w:t>
      </w:r>
      <w:r w:rsidR="009B09FB" w:rsidRPr="009F4F2E">
        <w:t xml:space="preserve"> further</w:t>
      </w:r>
      <w:r w:rsidR="00A539B6" w:rsidRPr="009F4F2E">
        <w:t xml:space="preserve"> </w:t>
      </w:r>
      <w:r w:rsidR="009B09FB" w:rsidRPr="009F4F2E">
        <w:t>clarification</w:t>
      </w:r>
      <w:r w:rsidR="00A539B6" w:rsidRPr="009F4F2E">
        <w:t>, t</w:t>
      </w:r>
      <w:r w:rsidR="00B866A8" w:rsidRPr="009F4F2E">
        <w:t xml:space="preserve">he </w:t>
      </w:r>
      <w:r w:rsidR="00A539B6" w:rsidRPr="009F4F2E">
        <w:t xml:space="preserve">2019 </w:t>
      </w:r>
      <w:r w:rsidR="00BD4C3F" w:rsidRPr="009F4F2E">
        <w:t xml:space="preserve">and 2020 </w:t>
      </w:r>
      <w:r w:rsidR="00B866A8" w:rsidRPr="009F4F2E">
        <w:t>Actual LBR Calculation</w:t>
      </w:r>
      <w:r w:rsidR="00BD4C3F" w:rsidRPr="009F4F2E">
        <w:t>s</w:t>
      </w:r>
      <w:r w:rsidR="00B866A8" w:rsidRPr="009F4F2E">
        <w:t xml:space="preserve"> </w:t>
      </w:r>
      <w:r w:rsidR="00662ED7" w:rsidRPr="009F4F2E">
        <w:t>will</w:t>
      </w:r>
      <w:r w:rsidR="00A539B6" w:rsidRPr="009F4F2E">
        <w:t xml:space="preserve"> be</w:t>
      </w:r>
      <w:r w:rsidR="00B866A8" w:rsidRPr="009F4F2E">
        <w:t xml:space="preserve"> as follows:</w:t>
      </w:r>
      <w:r w:rsidR="00E24C26" w:rsidRPr="009F4F2E">
        <w:rPr>
          <w:rStyle w:val="FootnoteReference"/>
        </w:rPr>
        <w:footnoteReference w:id="22"/>
      </w:r>
    </w:p>
    <w:p w:rsidR="00527EA7" w:rsidRDefault="00527EA7" w:rsidP="00527EA7">
      <w:pPr>
        <w:spacing w:after="0" w:line="240" w:lineRule="auto"/>
        <w:rPr>
          <w:b/>
        </w:rPr>
      </w:pPr>
    </w:p>
    <w:p w:rsidR="00BD4C3F" w:rsidRPr="009F4F2E" w:rsidRDefault="00BD4C3F" w:rsidP="00527EA7">
      <w:pPr>
        <w:spacing w:after="0" w:line="240" w:lineRule="auto"/>
        <w:rPr>
          <w:b/>
        </w:rPr>
      </w:pPr>
      <w:r w:rsidRPr="009F4F2E">
        <w:rPr>
          <w:b/>
        </w:rPr>
        <w:t>2019</w:t>
      </w:r>
    </w:p>
    <w:p w:rsidR="009B09FB" w:rsidRPr="00A90B75" w:rsidRDefault="00BF1DB5" w:rsidP="009B09FB">
      <w:pPr>
        <w:rPr>
          <w:rFonts w:eastAsia="Times New Roman"/>
        </w:rPr>
      </w:pPr>
      <m:oMathPara>
        <m:oMath>
          <m:d>
            <m:dPr>
              <m:ctrlPr>
                <w:rPr>
                  <w:rFonts w:ascii="Cambria Math" w:hAnsi="Cambria Math"/>
                  <w:i/>
                  <w:sz w:val="20"/>
                  <w:szCs w:val="20"/>
                </w:rPr>
              </m:ctrlPr>
            </m:dPr>
            <m:e>
              <m:r>
                <w:rPr>
                  <w:rFonts w:ascii="Cambria Math" w:hAnsi="Cambria Math"/>
                  <w:sz w:val="20"/>
                  <w:szCs w:val="20"/>
                </w:rPr>
                <m:t>2017+2018 Legacy Residential LBR kWh Savings*2019 Residential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2017+2018 Legacy C&amp;I LBR kWh Savings*2019 C&amp;I [kWh+kW] ADR</m:t>
              </m:r>
            </m:e>
          </m:d>
        </m:oMath>
      </m:oMathPara>
    </w:p>
    <w:p w:rsidR="00A539B6" w:rsidRPr="00A90B75" w:rsidRDefault="00A90B75" w:rsidP="00A539B6">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2019 Installed Residential LBR kWh Savings*2019 Residential ADR</m:t>
              </m:r>
            </m:e>
          </m:d>
        </m:oMath>
      </m:oMathPara>
    </w:p>
    <w:p w:rsidR="00CA383C" w:rsidRPr="00A90B75" w:rsidRDefault="00A90B75" w:rsidP="00B866A8">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2019 Installed C&amp;I LBR kWh Savings*2019 C&amp;I kWh ADR</m:t>
              </m:r>
            </m:e>
          </m:d>
        </m:oMath>
      </m:oMathPara>
    </w:p>
    <w:p w:rsidR="00A539B6" w:rsidRPr="00A90B75" w:rsidRDefault="00A90B75" w:rsidP="00B866A8">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2019 Installed C&amp;I LBR kW Savings*2019 C&amp;I kW ADR</m:t>
              </m:r>
            </m:e>
          </m:d>
        </m:oMath>
      </m:oMathPara>
    </w:p>
    <w:p w:rsidR="00B866A8" w:rsidRPr="009F4F2E" w:rsidRDefault="00A90B75" w:rsidP="00B866A8">
      <w:pPr>
        <w:rPr>
          <w:rFonts w:eastAsia="Times New Roman"/>
          <w:b/>
          <w:sz w:val="20"/>
          <w:szCs w:val="20"/>
        </w:rPr>
      </w:pPr>
      <m:oMath>
        <m:r>
          <m:rPr>
            <m:sty m:val="bi"/>
          </m:rPr>
          <w:rPr>
            <w:rFonts w:ascii="Cambria Math" w:hAnsi="Cambria Math"/>
            <w:sz w:val="20"/>
            <w:szCs w:val="20"/>
          </w:rPr>
          <m:t>=2019 Total Actual LBR</m:t>
        </m:r>
      </m:oMath>
      <w:r w:rsidR="00B866A8" w:rsidRPr="009F4F2E">
        <w:rPr>
          <w:rFonts w:eastAsia="Times New Roman"/>
          <w:b/>
          <w:sz w:val="20"/>
          <w:szCs w:val="20"/>
        </w:rPr>
        <w:t xml:space="preserve"> </w:t>
      </w:r>
    </w:p>
    <w:p w:rsidR="00BD4C3F" w:rsidRPr="009F4F2E" w:rsidRDefault="00BD4C3F" w:rsidP="00B866A8">
      <w:pPr>
        <w:rPr>
          <w:rFonts w:eastAsia="Times New Roman"/>
          <w:sz w:val="20"/>
          <w:szCs w:val="20"/>
        </w:rPr>
      </w:pPr>
    </w:p>
    <w:p w:rsidR="00BD4C3F" w:rsidRPr="009F4F2E" w:rsidRDefault="00BD4C3F" w:rsidP="00BD4C3F">
      <w:pPr>
        <w:rPr>
          <w:b/>
          <w:szCs w:val="20"/>
        </w:rPr>
      </w:pPr>
      <w:r w:rsidRPr="009F4F2E">
        <w:rPr>
          <w:b/>
          <w:szCs w:val="20"/>
        </w:rPr>
        <w:t>2020</w:t>
      </w:r>
    </w:p>
    <w:p w:rsidR="00BD4C3F" w:rsidRPr="00A90B75" w:rsidRDefault="00BF1DB5" w:rsidP="00BD4C3F">
      <w:pPr>
        <w:rPr>
          <w:rFonts w:eastAsia="Times New Roman"/>
          <w:sz w:val="20"/>
          <w:szCs w:val="20"/>
        </w:rPr>
      </w:pPr>
      <m:oMathPara>
        <m:oMath>
          <m:d>
            <m:dPr>
              <m:ctrlPr>
                <w:rPr>
                  <w:rFonts w:ascii="Cambria Math" w:hAnsi="Cambria Math"/>
                  <w:i/>
                  <w:sz w:val="20"/>
                  <w:szCs w:val="20"/>
                </w:rPr>
              </m:ctrlPr>
            </m:dPr>
            <m:e>
              <m:r>
                <w:rPr>
                  <w:rFonts w:ascii="Cambria Math" w:hAnsi="Cambria Math"/>
                  <w:sz w:val="20"/>
                  <w:szCs w:val="20"/>
                </w:rPr>
                <m:t>2017+2018 Legacy Residential LBR kWh Savings*2020 Residential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2017+2018 Legacy C&amp;I LBR kWh Savings*2020 C&amp;I [kWh+kW] ADR</m:t>
              </m:r>
            </m:e>
          </m:d>
        </m:oMath>
      </m:oMathPara>
    </w:p>
    <w:p w:rsidR="00CA383C"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2019 Legacy Residential LBR kWh Savings*2020 Residential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2019 Legacy C&amp;I LBR kWh Savings*2020 C&amp;I kWh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2019 Legacy C&amp;I LBR kW Savin</m:t>
              </m:r>
              <m:r>
                <w:rPr>
                  <w:rFonts w:ascii="Cambria Math" w:hAnsi="Cambria Math"/>
                  <w:sz w:val="20"/>
                  <w:szCs w:val="20"/>
                </w:rPr>
                <m:t>gs*2020 C&amp;I kW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2020 Installed Residential LBR kWh Savings*2020 Residential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2020 Installed C&amp;I LBR kWh Savings*2020 C&amp;I kWh ADR</m:t>
              </m:r>
            </m:e>
          </m:d>
        </m:oMath>
      </m:oMathPara>
    </w:p>
    <w:p w:rsidR="00BD4C3F" w:rsidRPr="00A90B75" w:rsidRDefault="00A90B75" w:rsidP="00BD4C3F">
      <w:pPr>
        <w:rPr>
          <w:rFonts w:eastAsia="Times New Roman"/>
          <w:sz w:val="20"/>
          <w:szCs w:val="20"/>
        </w:rPr>
      </w:pPr>
      <m:oMathPara>
        <m:oMath>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2020 Installed C&amp;I LBR kW Savings*2020 C&amp;I kW ADR</m:t>
              </m:r>
            </m:e>
          </m:d>
        </m:oMath>
      </m:oMathPara>
    </w:p>
    <w:p w:rsidR="00CA383C" w:rsidRPr="009F4F2E" w:rsidRDefault="00A90B75" w:rsidP="00CA383C">
      <w:pPr>
        <w:rPr>
          <w:rFonts w:eastAsia="Times New Roman"/>
          <w:b/>
          <w:sz w:val="20"/>
          <w:szCs w:val="20"/>
        </w:rPr>
      </w:pPr>
      <m:oMath>
        <m:r>
          <m:rPr>
            <m:sty m:val="bi"/>
          </m:rPr>
          <w:rPr>
            <w:rFonts w:ascii="Cambria Math" w:hAnsi="Cambria Math"/>
            <w:sz w:val="20"/>
            <w:szCs w:val="20"/>
          </w:rPr>
          <m:t>=2020 Total Actual LBR</m:t>
        </m:r>
      </m:oMath>
      <w:r w:rsidR="00CA383C" w:rsidRPr="009F4F2E">
        <w:rPr>
          <w:rFonts w:eastAsia="Times New Roman"/>
          <w:b/>
          <w:sz w:val="20"/>
          <w:szCs w:val="20"/>
        </w:rPr>
        <w:t xml:space="preserve"> </w:t>
      </w:r>
    </w:p>
    <w:p w:rsidR="00CA383C" w:rsidRPr="009F4F2E" w:rsidRDefault="00CA383C" w:rsidP="00BD4C3F">
      <w:pPr>
        <w:rPr>
          <w:rFonts w:eastAsia="Times New Roman"/>
          <w:sz w:val="20"/>
          <w:szCs w:val="20"/>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9F4F2E" w:rsidRDefault="00606666" w:rsidP="00606666">
      <w:pPr>
        <w:jc w:val="center"/>
        <w:rPr>
          <w:rFonts w:eastAsia="Times New Roman" w:cs="Calibri"/>
          <w:sz w:val="28"/>
          <w:szCs w:val="28"/>
        </w:rPr>
      </w:pPr>
    </w:p>
    <w:p w:rsidR="00606666" w:rsidRPr="00527EA7" w:rsidRDefault="00606666" w:rsidP="00606666">
      <w:pPr>
        <w:jc w:val="center"/>
        <w:rPr>
          <w:rFonts w:eastAsia="Times New Roman" w:cs="Calibri"/>
          <w:b/>
          <w:sz w:val="28"/>
          <w:szCs w:val="28"/>
        </w:rPr>
      </w:pPr>
      <w:r w:rsidRPr="00527EA7">
        <w:rPr>
          <w:rFonts w:eastAsia="Times New Roman" w:cs="Calibri"/>
          <w:b/>
          <w:sz w:val="28"/>
          <w:szCs w:val="28"/>
        </w:rPr>
        <w:t>Appendix</w:t>
      </w:r>
    </w:p>
    <w:p w:rsidR="00606666" w:rsidRPr="009F4F2E" w:rsidRDefault="00606666" w:rsidP="00606666">
      <w:pPr>
        <w:pStyle w:val="Heading2"/>
        <w:numPr>
          <w:ilvl w:val="0"/>
          <w:numId w:val="0"/>
        </w:numPr>
        <w:rPr>
          <w:rFonts w:ascii="Calibri" w:hAnsi="Calibri" w:cs="Calibri"/>
          <w:color w:val="auto"/>
          <w:sz w:val="20"/>
          <w:szCs w:val="20"/>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color w:val="000000"/>
        </w:rPr>
      </w:pPr>
      <w:r w:rsidRPr="009F4F2E">
        <w:rPr>
          <w:rFonts w:ascii="Calibri" w:hAnsi="Calibri" w:cs="Calibri"/>
          <w:color w:val="000000"/>
        </w:rPr>
        <w:t>Appendix A:  2019-2020 LBR savings calculation templates (attached)</w:t>
      </w: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r w:rsidRPr="009F4F2E">
        <w:rPr>
          <w:rFonts w:ascii="Calibri" w:hAnsi="Calibri" w:cs="Calibri"/>
          <w:color w:val="000000"/>
        </w:rPr>
        <w:t>Appendix B:  Planned kW and kWh savings for Lost Based Revenue (attached)</w:t>
      </w: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r w:rsidRPr="009F4F2E">
        <w:rPr>
          <w:rFonts w:ascii="Calibri" w:hAnsi="Calibri" w:cs="Calibri"/>
          <w:color w:val="000000"/>
        </w:rPr>
        <w:t>Appendix C: Example of Lighting Project Worksheet with kW Savings (attached)</w:t>
      </w: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r w:rsidRPr="009F4F2E">
        <w:rPr>
          <w:rFonts w:ascii="Calibri" w:hAnsi="Calibri" w:cs="Calibri"/>
          <w:color w:val="000000"/>
        </w:rPr>
        <w:t>Appendix D:  Sample LBR ADR calculations (attached)</w:t>
      </w: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r w:rsidRPr="009F4F2E">
        <w:rPr>
          <w:rFonts w:ascii="Calibri" w:hAnsi="Calibri" w:cs="Calibri"/>
          <w:color w:val="000000"/>
        </w:rPr>
        <w:t>Appendix E:  Ratchet Support Analyses (attached)</w:t>
      </w: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r w:rsidRPr="009F4F2E">
        <w:rPr>
          <w:rFonts w:ascii="Calibri" w:hAnsi="Calibri" w:cs="Calibri"/>
          <w:color w:val="000000"/>
        </w:rPr>
        <w:t>Appendix F:  Eversource Analysis, Rate GV Peak Hour and DNV-GL operating %’s (attached)</w:t>
      </w:r>
    </w:p>
    <w:p w:rsidR="00606666" w:rsidRPr="009F4F2E" w:rsidRDefault="00606666" w:rsidP="00606666">
      <w:pPr>
        <w:rPr>
          <w:rFonts w:cs="Calibri"/>
          <w:color w:val="000000"/>
        </w:rPr>
      </w:pPr>
    </w:p>
    <w:p w:rsidR="00606666" w:rsidRPr="009F4F2E" w:rsidRDefault="00606666" w:rsidP="00606666">
      <w:pPr>
        <w:rPr>
          <w:rFonts w:cs="Calibri"/>
          <w:color w:val="000000"/>
          <w:sz w:val="26"/>
          <w:szCs w:val="26"/>
        </w:rPr>
      </w:pPr>
      <w:r w:rsidRPr="009F4F2E">
        <w:rPr>
          <w:rFonts w:cs="Calibri"/>
          <w:color w:val="000000"/>
          <w:sz w:val="26"/>
          <w:szCs w:val="26"/>
        </w:rPr>
        <w:t xml:space="preserve">Appendix G:  </w:t>
      </w:r>
      <w:hyperlink r:id="rId14" w:history="1">
        <w:r w:rsidRPr="009F4F2E">
          <w:rPr>
            <w:rStyle w:val="Hyperlink"/>
            <w:rFonts w:cs="Calibri"/>
            <w:color w:val="000000"/>
            <w:sz w:val="26"/>
            <w:szCs w:val="26"/>
            <w:u w:val="none"/>
          </w:rPr>
          <w:t xml:space="preserve">OCA </w:t>
        </w:r>
        <w:r w:rsidR="009F4F2E" w:rsidRPr="009F4F2E">
          <w:rPr>
            <w:rStyle w:val="Hyperlink"/>
            <w:rFonts w:cs="Calibri"/>
            <w:color w:val="000000"/>
            <w:sz w:val="26"/>
            <w:szCs w:val="26"/>
            <w:u w:val="none"/>
          </w:rPr>
          <w:t xml:space="preserve">Comments, Including Resource Insights, Inc. </w:t>
        </w:r>
        <w:r w:rsidRPr="009F4F2E">
          <w:rPr>
            <w:rStyle w:val="Hyperlink"/>
            <w:rFonts w:cs="Calibri"/>
            <w:color w:val="000000"/>
            <w:sz w:val="26"/>
            <w:szCs w:val="26"/>
            <w:u w:val="none"/>
          </w:rPr>
          <w:t>Comments</w:t>
        </w:r>
      </w:hyperlink>
      <w:r w:rsidRPr="009F4F2E">
        <w:rPr>
          <w:rFonts w:cs="Calibri"/>
          <w:color w:val="000000"/>
          <w:sz w:val="26"/>
          <w:szCs w:val="26"/>
        </w:rPr>
        <w:t xml:space="preserve"> (attached)</w:t>
      </w:r>
    </w:p>
    <w:p w:rsidR="00606666" w:rsidRPr="00D65105" w:rsidRDefault="000303A8" w:rsidP="00606666">
      <w:pPr>
        <w:pStyle w:val="Heading2"/>
        <w:numPr>
          <w:ilvl w:val="0"/>
          <w:numId w:val="0"/>
        </w:numPr>
        <w:rPr>
          <w:rFonts w:ascii="Calibri" w:hAnsi="Calibri" w:cs="Calibri"/>
          <w:lang w:val="en-US"/>
        </w:rPr>
      </w:pPr>
      <w:r>
        <w:rPr>
          <w:rFonts w:ascii="Calibri" w:hAnsi="Calibri" w:cs="Calibri"/>
          <w:lang w:val="en-US"/>
        </w:rPr>
        <w:t>Appendix H:  Utility Comments</w:t>
      </w: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 w:rsidR="00606666" w:rsidRPr="009F4F2E" w:rsidRDefault="00606666" w:rsidP="00606666"/>
    <w:p w:rsidR="00606666" w:rsidRPr="00527EA7" w:rsidRDefault="00606666" w:rsidP="00606666">
      <w:pPr>
        <w:pStyle w:val="Heading2"/>
        <w:numPr>
          <w:ilvl w:val="0"/>
          <w:numId w:val="0"/>
        </w:numPr>
        <w:rPr>
          <w:rFonts w:ascii="Calibri" w:eastAsia="Calibri" w:hAnsi="Calibri" w:cs="Calibri"/>
          <w:b/>
          <w:sz w:val="22"/>
          <w:szCs w:val="22"/>
        </w:rPr>
      </w:pPr>
      <w:r w:rsidRPr="00527EA7">
        <w:rPr>
          <w:rFonts w:ascii="Calibri" w:hAnsi="Calibri" w:cs="Calibri"/>
          <w:b/>
          <w:color w:val="000000"/>
        </w:rPr>
        <w:t xml:space="preserve">Appendix A:  2019-2020 LBR savings calculation templates  </w:t>
      </w:r>
    </w:p>
    <w:p w:rsidR="00606666" w:rsidRPr="009F4F2E" w:rsidRDefault="00606666" w:rsidP="00606666">
      <w:pPr>
        <w:pStyle w:val="Heading2"/>
        <w:numPr>
          <w:ilvl w:val="0"/>
          <w:numId w:val="0"/>
        </w:numPr>
        <w:rPr>
          <w:rFonts w:ascii="Calibri" w:hAnsi="Calibri" w:cs="Calibri"/>
        </w:rPr>
      </w:pPr>
    </w:p>
    <w:bookmarkStart w:id="10" w:name="_MON_1593581324"/>
    <w:bookmarkEnd w:id="10"/>
    <w:p w:rsidR="00606666" w:rsidRPr="009F4F2E" w:rsidRDefault="00E80C3E" w:rsidP="00606666">
      <w:pPr>
        <w:pStyle w:val="Heading2"/>
        <w:numPr>
          <w:ilvl w:val="0"/>
          <w:numId w:val="0"/>
        </w:numPr>
        <w:rPr>
          <w:rFonts w:ascii="Calibri" w:hAnsi="Calibri" w:cs="Calibri"/>
        </w:rPr>
      </w:pPr>
      <w:r>
        <w:rPr>
          <w:rFonts w:ascii="Calibri" w:hAnsi="Calibri" w:cs="Calibri"/>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Excel.Sheet.8" ShapeID="_x0000_i1025" DrawAspect="Icon" ObjectID="_1602497988" r:id="rId16"/>
        </w:object>
      </w:r>
      <w:bookmarkStart w:id="11" w:name="_MON_1593581884"/>
      <w:bookmarkEnd w:id="11"/>
      <w:r w:rsidR="004D5F9A">
        <w:rPr>
          <w:rFonts w:ascii="Calibri" w:hAnsi="Calibri" w:cs="Calibri"/>
        </w:rPr>
        <w:object w:dxaOrig="1539" w:dyaOrig="995">
          <v:shape id="_x0000_i1026" type="#_x0000_t75" style="width:77.25pt;height:49.5pt" o:ole="">
            <v:imagedata r:id="rId17" o:title=""/>
          </v:shape>
          <o:OLEObject Type="Embed" ProgID="Excel.Sheet.8" ShapeID="_x0000_i1026" DrawAspect="Icon" ObjectID="_1602497989" r:id="rId18"/>
        </w:object>
      </w:r>
      <w:bookmarkStart w:id="12" w:name="_MON_1593581337"/>
      <w:bookmarkEnd w:id="12"/>
      <w:r w:rsidR="007B4B01">
        <w:rPr>
          <w:rFonts w:ascii="Calibri" w:hAnsi="Calibri" w:cs="Calibri"/>
        </w:rPr>
        <w:object w:dxaOrig="1539" w:dyaOrig="995">
          <v:shape id="_x0000_i1027" type="#_x0000_t75" style="width:77.25pt;height:49.5pt" o:ole="">
            <v:imagedata r:id="rId19" o:title=""/>
          </v:shape>
          <o:OLEObject Type="Embed" ProgID="Excel.Sheet.12" ShapeID="_x0000_i1027" DrawAspect="Icon" ObjectID="_1602497990" r:id="rId20"/>
        </w:object>
      </w: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rPr>
      </w:pP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p>
    <w:p w:rsidR="00B25C4E" w:rsidRPr="009F4F2E" w:rsidRDefault="00B25C4E" w:rsidP="00606666">
      <w:pPr>
        <w:pStyle w:val="Heading2"/>
        <w:numPr>
          <w:ilvl w:val="0"/>
          <w:numId w:val="0"/>
        </w:numPr>
        <w:rPr>
          <w:rFonts w:ascii="Calibri" w:hAnsi="Calibri" w:cs="Calibri"/>
          <w:color w:val="000000"/>
        </w:rPr>
      </w:pPr>
    </w:p>
    <w:p w:rsidR="00B25C4E" w:rsidRPr="009F4F2E" w:rsidRDefault="00B25C4E" w:rsidP="00606666">
      <w:pPr>
        <w:pStyle w:val="Heading2"/>
        <w:numPr>
          <w:ilvl w:val="0"/>
          <w:numId w:val="0"/>
        </w:numPr>
        <w:rPr>
          <w:rFonts w:ascii="Calibri" w:hAnsi="Calibri" w:cs="Calibri"/>
          <w:color w:val="000000"/>
        </w:rPr>
      </w:pPr>
    </w:p>
    <w:p w:rsidR="00B25C4E" w:rsidRPr="009F4F2E" w:rsidRDefault="00B25C4E" w:rsidP="00606666">
      <w:pPr>
        <w:pStyle w:val="Heading2"/>
        <w:numPr>
          <w:ilvl w:val="0"/>
          <w:numId w:val="0"/>
        </w:numPr>
        <w:rPr>
          <w:rFonts w:ascii="Calibri" w:hAnsi="Calibri" w:cs="Calibri"/>
          <w:color w:val="000000"/>
        </w:rPr>
      </w:pPr>
    </w:p>
    <w:p w:rsidR="00B25C4E" w:rsidRPr="009F4F2E" w:rsidRDefault="00B25C4E" w:rsidP="00606666">
      <w:pPr>
        <w:pStyle w:val="Heading2"/>
        <w:numPr>
          <w:ilvl w:val="0"/>
          <w:numId w:val="0"/>
        </w:numPr>
        <w:rPr>
          <w:rFonts w:ascii="Calibri" w:hAnsi="Calibri" w:cs="Calibri"/>
          <w:color w:val="000000"/>
        </w:rPr>
      </w:pPr>
    </w:p>
    <w:p w:rsidR="00606666" w:rsidRPr="00527EA7" w:rsidRDefault="00606666" w:rsidP="00606666">
      <w:pPr>
        <w:pStyle w:val="Heading2"/>
        <w:numPr>
          <w:ilvl w:val="0"/>
          <w:numId w:val="0"/>
        </w:numPr>
        <w:rPr>
          <w:rFonts w:ascii="Calibri" w:hAnsi="Calibri" w:cs="Calibri"/>
          <w:b/>
          <w:color w:val="000000"/>
        </w:rPr>
      </w:pPr>
      <w:r w:rsidRPr="00527EA7">
        <w:rPr>
          <w:rFonts w:ascii="Calibri" w:hAnsi="Calibri" w:cs="Calibri"/>
          <w:b/>
          <w:color w:val="000000"/>
        </w:rPr>
        <w:t>Appendix B (1 of 3):  Planned kW and kWh savings for Lost Based Revenue</w:t>
      </w:r>
    </w:p>
    <w:p w:rsidR="00606666" w:rsidRPr="009F4F2E" w:rsidRDefault="00606666" w:rsidP="00606666">
      <w:pPr>
        <w:rPr>
          <w:rFonts w:cs="Calibri"/>
        </w:rPr>
      </w:pPr>
    </w:p>
    <w:p w:rsidR="00606666" w:rsidRPr="009F4F2E" w:rsidRDefault="00606666" w:rsidP="00606666">
      <w:pPr>
        <w:rPr>
          <w:rFonts w:cs="Calibri"/>
          <w:b/>
        </w:rPr>
      </w:pPr>
      <w:r w:rsidRPr="009F4F2E">
        <w:rPr>
          <w:rFonts w:cs="Calibri"/>
          <w:b/>
        </w:rPr>
        <w:t>Table 1</w:t>
      </w:r>
      <w:r w:rsidR="004776FD">
        <w:rPr>
          <w:rFonts w:cs="Calibri"/>
          <w:b/>
        </w:rPr>
        <w:t>:</w:t>
      </w:r>
      <w:r w:rsidRPr="009F4F2E">
        <w:rPr>
          <w:rFonts w:cs="Calibri"/>
          <w:b/>
        </w:rPr>
        <w:t xml:space="preserve"> Eversource Planned Savings for Lost Base Revenues, Measures Installed in 2019 and 2020</w:t>
      </w:r>
    </w:p>
    <w:tbl>
      <w:tblPr>
        <w:tblW w:w="10600" w:type="dxa"/>
        <w:tblInd w:w="-645" w:type="dxa"/>
        <w:tblLook w:val="04A0" w:firstRow="1" w:lastRow="0" w:firstColumn="1" w:lastColumn="0" w:noHBand="0" w:noVBand="1"/>
      </w:tblPr>
      <w:tblGrid>
        <w:gridCol w:w="4220"/>
        <w:gridCol w:w="1700"/>
        <w:gridCol w:w="1780"/>
        <w:gridCol w:w="1380"/>
        <w:gridCol w:w="1520"/>
      </w:tblGrid>
      <w:tr w:rsidR="00606666" w:rsidRPr="009F4F2E" w:rsidTr="00E85BB5">
        <w:trPr>
          <w:trHeight w:val="600"/>
        </w:trPr>
        <w:tc>
          <w:tcPr>
            <w:tcW w:w="422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Program</w:t>
            </w:r>
          </w:p>
        </w:tc>
        <w:tc>
          <w:tcPr>
            <w:tcW w:w="170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2019 MWh Savings</w:t>
            </w:r>
            <w:r w:rsidRPr="009F4F2E">
              <w:rPr>
                <w:rFonts w:eastAsia="Times New Roman" w:cs="Calibri"/>
                <w:b/>
                <w:bCs/>
                <w:color w:val="000000"/>
                <w:vertAlign w:val="superscript"/>
              </w:rPr>
              <w:t>a</w:t>
            </w:r>
          </w:p>
        </w:tc>
        <w:tc>
          <w:tcPr>
            <w:tcW w:w="178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2020 MWh Savings</w:t>
            </w:r>
            <w:r w:rsidRPr="009F4F2E">
              <w:rPr>
                <w:rFonts w:eastAsia="Times New Roman" w:cs="Calibri"/>
                <w:b/>
                <w:bCs/>
                <w:color w:val="000000"/>
                <w:vertAlign w:val="superscript"/>
              </w:rPr>
              <w:t>a</w:t>
            </w:r>
          </w:p>
        </w:tc>
        <w:tc>
          <w:tcPr>
            <w:tcW w:w="138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2019 kW Savings</w:t>
            </w:r>
            <w:r w:rsidRPr="009F4F2E">
              <w:rPr>
                <w:rFonts w:eastAsia="Times New Roman" w:cs="Calibri"/>
                <w:b/>
                <w:bCs/>
                <w:color w:val="000000"/>
                <w:vertAlign w:val="superscript"/>
              </w:rPr>
              <w:t>b</w:t>
            </w:r>
          </w:p>
        </w:tc>
        <w:tc>
          <w:tcPr>
            <w:tcW w:w="1520" w:type="dxa"/>
            <w:tcBorders>
              <w:top w:val="single" w:sz="12" w:space="0" w:color="auto"/>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2020 kW Savings</w:t>
            </w:r>
            <w:r w:rsidRPr="009F4F2E">
              <w:rPr>
                <w:rFonts w:eastAsia="Times New Roman" w:cs="Calibri"/>
                <w:b/>
                <w:bCs/>
                <w:color w:val="000000"/>
                <w:vertAlign w:val="superscript"/>
              </w:rPr>
              <w:t>b</w:t>
            </w:r>
          </w:p>
        </w:tc>
      </w:tr>
      <w:tr w:rsidR="00606666" w:rsidRPr="009F4F2E" w:rsidTr="00E85BB5">
        <w:trPr>
          <w:trHeight w:val="310"/>
        </w:trPr>
        <w:tc>
          <w:tcPr>
            <w:tcW w:w="10600" w:type="dxa"/>
            <w:gridSpan w:val="5"/>
            <w:tcBorders>
              <w:top w:val="single" w:sz="12" w:space="0" w:color="auto"/>
              <w:left w:val="single" w:sz="12" w:space="0" w:color="auto"/>
              <w:bottom w:val="single" w:sz="12" w:space="0" w:color="auto"/>
              <w:right w:val="single" w:sz="12" w:space="0" w:color="000000"/>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Savings from Measures Installed in 2019</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Retrofit </w:t>
            </w:r>
          </w:p>
        </w:tc>
        <w:tc>
          <w:tcPr>
            <w:tcW w:w="1700" w:type="dxa"/>
            <w:tcBorders>
              <w:top w:val="single" w:sz="12" w:space="0" w:color="auto"/>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12,701.22</w:t>
            </w:r>
          </w:p>
        </w:tc>
        <w:tc>
          <w:tcPr>
            <w:tcW w:w="1780" w:type="dxa"/>
            <w:tcBorders>
              <w:top w:val="single" w:sz="12" w:space="0" w:color="auto"/>
              <w:left w:val="nil"/>
              <w:bottom w:val="nil"/>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25,402.44</w:t>
            </w:r>
          </w:p>
        </w:tc>
        <w:tc>
          <w:tcPr>
            <w:tcW w:w="1380" w:type="dxa"/>
            <w:tcBorders>
              <w:top w:val="single" w:sz="12" w:space="0" w:color="auto"/>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1,695.70</w:t>
            </w:r>
          </w:p>
        </w:tc>
        <w:tc>
          <w:tcPr>
            <w:tcW w:w="1520" w:type="dxa"/>
            <w:tcBorders>
              <w:top w:val="single" w:sz="12" w:space="0" w:color="auto"/>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3,391.40</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New Equipment and Construction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9,491.54</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18,983.08</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760.69</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1,521.38</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Energy Rewards RFP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2,102.71</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4,205.42</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349.01</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698.02</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Retrofit</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4,407.44</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8,814.87</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740.72</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1,481.44</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New Equipment and Construction</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1,336.86</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2,673.71</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244.38</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488.75</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Direct Install</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1,752.73</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3,505.45</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437.63</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875.27</w:t>
            </w:r>
          </w:p>
        </w:tc>
      </w:tr>
      <w:tr w:rsidR="00606666" w:rsidRPr="009F4F2E" w:rsidTr="00E85BB5">
        <w:trPr>
          <w:trHeight w:val="300"/>
        </w:trPr>
        <w:tc>
          <w:tcPr>
            <w:tcW w:w="4220" w:type="dxa"/>
            <w:tcBorders>
              <w:top w:val="nil"/>
              <w:left w:val="single" w:sz="12" w:space="0" w:color="auto"/>
              <w:bottom w:val="single" w:sz="8" w:space="0" w:color="auto"/>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Municipal</w:t>
            </w:r>
          </w:p>
        </w:tc>
        <w:tc>
          <w:tcPr>
            <w:tcW w:w="1700" w:type="dxa"/>
            <w:tcBorders>
              <w:top w:val="nil"/>
              <w:left w:val="single" w:sz="12" w:space="0" w:color="auto"/>
              <w:bottom w:val="single" w:sz="8" w:space="0" w:color="auto"/>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1,799.74</w:t>
            </w:r>
          </w:p>
        </w:tc>
        <w:tc>
          <w:tcPr>
            <w:tcW w:w="1780" w:type="dxa"/>
            <w:tcBorders>
              <w:top w:val="nil"/>
              <w:left w:val="nil"/>
              <w:bottom w:val="single" w:sz="8" w:space="0" w:color="auto"/>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3,599.47</w:t>
            </w:r>
          </w:p>
        </w:tc>
        <w:tc>
          <w:tcPr>
            <w:tcW w:w="1380" w:type="dxa"/>
            <w:tcBorders>
              <w:top w:val="nil"/>
              <w:left w:val="single" w:sz="4" w:space="0" w:color="auto"/>
              <w:bottom w:val="single" w:sz="8" w:space="0" w:color="auto"/>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138.86</w:t>
            </w:r>
          </w:p>
        </w:tc>
        <w:tc>
          <w:tcPr>
            <w:tcW w:w="1520" w:type="dxa"/>
            <w:tcBorders>
              <w:top w:val="nil"/>
              <w:left w:val="nil"/>
              <w:bottom w:val="single" w:sz="8" w:space="0" w:color="auto"/>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277.73</w:t>
            </w:r>
          </w:p>
        </w:tc>
      </w:tr>
      <w:tr w:rsidR="00606666" w:rsidRPr="009F4F2E" w:rsidTr="00E85BB5">
        <w:trPr>
          <w:trHeight w:val="300"/>
        </w:trPr>
        <w:tc>
          <w:tcPr>
            <w:tcW w:w="4220" w:type="dxa"/>
            <w:tcBorders>
              <w:top w:val="nil"/>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Sub-total C&amp;I and Municipal</w:t>
            </w:r>
          </w:p>
        </w:tc>
        <w:tc>
          <w:tcPr>
            <w:tcW w:w="1700" w:type="dxa"/>
            <w:tcBorders>
              <w:top w:val="nil"/>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33,592.22</w:t>
            </w:r>
          </w:p>
        </w:tc>
        <w:tc>
          <w:tcPr>
            <w:tcW w:w="1780" w:type="dxa"/>
            <w:tcBorders>
              <w:top w:val="nil"/>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67,184.44</w:t>
            </w:r>
          </w:p>
        </w:tc>
        <w:tc>
          <w:tcPr>
            <w:tcW w:w="1380" w:type="dxa"/>
            <w:tcBorders>
              <w:top w:val="nil"/>
              <w:left w:val="single" w:sz="4" w:space="0" w:color="auto"/>
              <w:bottom w:val="single" w:sz="8" w:space="0" w:color="auto"/>
              <w:right w:val="single" w:sz="4"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cs="Calibri"/>
              </w:rPr>
              <w:t>4,367.00</w:t>
            </w:r>
          </w:p>
        </w:tc>
        <w:tc>
          <w:tcPr>
            <w:tcW w:w="1520" w:type="dxa"/>
            <w:tcBorders>
              <w:top w:val="nil"/>
              <w:left w:val="nil"/>
              <w:bottom w:val="single" w:sz="8" w:space="0" w:color="auto"/>
              <w:right w:val="single" w:sz="12"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cs="Calibri"/>
              </w:rPr>
              <w:t>8,733.99</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ESHomes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485.755</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971.51</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ESProducts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3,995.64</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7,991.28</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HEA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411.92</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823.84</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HPwES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289.185</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578.37</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Home Energy Reports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2,966.80</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5,933.60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41"/>
        </w:trPr>
        <w:tc>
          <w:tcPr>
            <w:tcW w:w="4220" w:type="dxa"/>
            <w:tcBorders>
              <w:top w:val="single" w:sz="8" w:space="0" w:color="auto"/>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Sub-total Residential </w:t>
            </w:r>
          </w:p>
        </w:tc>
        <w:tc>
          <w:tcPr>
            <w:tcW w:w="1700" w:type="dxa"/>
            <w:tcBorders>
              <w:top w:val="single" w:sz="8" w:space="0" w:color="auto"/>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 xml:space="preserve">           8,149.30 </w:t>
            </w:r>
          </w:p>
        </w:tc>
        <w:tc>
          <w:tcPr>
            <w:tcW w:w="1780" w:type="dxa"/>
            <w:tcBorders>
              <w:top w:val="single" w:sz="8" w:space="0" w:color="auto"/>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 xml:space="preserve">16,298.60 </w:t>
            </w:r>
          </w:p>
        </w:tc>
        <w:tc>
          <w:tcPr>
            <w:tcW w:w="1380" w:type="dxa"/>
            <w:tcBorders>
              <w:top w:val="single" w:sz="8" w:space="0" w:color="auto"/>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8" w:space="0" w:color="auto"/>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nil"/>
              <w:left w:val="single" w:sz="12" w:space="0" w:color="auto"/>
              <w:bottom w:val="single" w:sz="12" w:space="0" w:color="auto"/>
              <w:right w:val="nil"/>
            </w:tcBorders>
            <w:shd w:val="clear" w:color="auto" w:fill="D9D9D9"/>
            <w:noWrap/>
            <w:vAlign w:val="center"/>
            <w:hideMark/>
          </w:tcPr>
          <w:p w:rsidR="00606666" w:rsidRPr="009F4F2E" w:rsidRDefault="00606666" w:rsidP="00E85BB5">
            <w:pPr>
              <w:spacing w:after="0" w:line="240" w:lineRule="auto"/>
              <w:rPr>
                <w:rFonts w:eastAsia="Times New Roman" w:cs="Calibri"/>
                <w:b/>
                <w:bCs/>
                <w:color w:val="000000"/>
              </w:rPr>
            </w:pPr>
            <w:r w:rsidRPr="009F4F2E">
              <w:rPr>
                <w:rFonts w:eastAsia="Times New Roman" w:cs="Calibri"/>
                <w:b/>
                <w:bCs/>
                <w:color w:val="000000"/>
              </w:rPr>
              <w:t>Total, 2019 Measures</w:t>
            </w:r>
          </w:p>
        </w:tc>
        <w:tc>
          <w:tcPr>
            <w:tcW w:w="1700" w:type="dxa"/>
            <w:tcBorders>
              <w:top w:val="nil"/>
              <w:left w:val="single" w:sz="12"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41,741.52</w:t>
            </w:r>
          </w:p>
        </w:tc>
        <w:tc>
          <w:tcPr>
            <w:tcW w:w="1780" w:type="dxa"/>
            <w:tcBorders>
              <w:top w:val="nil"/>
              <w:left w:val="nil"/>
              <w:bottom w:val="single" w:sz="12" w:space="0" w:color="auto"/>
              <w:right w:val="nil"/>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83,483.04</w:t>
            </w:r>
          </w:p>
        </w:tc>
        <w:tc>
          <w:tcPr>
            <w:tcW w:w="1380" w:type="dxa"/>
            <w:tcBorders>
              <w:top w:val="nil"/>
              <w:left w:val="single" w:sz="4"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cs="Calibri"/>
                <w:b/>
                <w:bCs/>
                <w:color w:val="000000"/>
              </w:rPr>
              <w:t>4,367.00</w:t>
            </w:r>
          </w:p>
        </w:tc>
        <w:tc>
          <w:tcPr>
            <w:tcW w:w="1520" w:type="dxa"/>
            <w:tcBorders>
              <w:top w:val="nil"/>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cs="Calibri"/>
                <w:b/>
                <w:bCs/>
                <w:color w:val="000000"/>
              </w:rPr>
              <w:t>8,733.99</w:t>
            </w:r>
          </w:p>
        </w:tc>
      </w:tr>
      <w:tr w:rsidR="00606666" w:rsidRPr="009F4F2E" w:rsidTr="00E85BB5">
        <w:trPr>
          <w:trHeight w:val="310"/>
        </w:trPr>
        <w:tc>
          <w:tcPr>
            <w:tcW w:w="10600" w:type="dxa"/>
            <w:gridSpan w:val="5"/>
            <w:tcBorders>
              <w:top w:val="single" w:sz="12" w:space="0" w:color="auto"/>
              <w:left w:val="single" w:sz="12" w:space="0" w:color="auto"/>
              <w:bottom w:val="single" w:sz="12" w:space="0" w:color="auto"/>
              <w:right w:val="single" w:sz="12" w:space="0" w:color="000000"/>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Savings from Measures Installed in 2020</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Retrofit </w:t>
            </w:r>
          </w:p>
        </w:tc>
        <w:tc>
          <w:tcPr>
            <w:tcW w:w="1700" w:type="dxa"/>
            <w:tcBorders>
              <w:top w:val="single" w:sz="12" w:space="0" w:color="auto"/>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single" w:sz="12" w:space="0" w:color="auto"/>
              <w:left w:val="nil"/>
              <w:bottom w:val="nil"/>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16,415.94</w:t>
            </w:r>
          </w:p>
        </w:tc>
        <w:tc>
          <w:tcPr>
            <w:tcW w:w="1380" w:type="dxa"/>
            <w:tcBorders>
              <w:top w:val="single" w:sz="12" w:space="0" w:color="auto"/>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12" w:space="0" w:color="auto"/>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2,191.64</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New Equipment and Construction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12,254.73</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982.15</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Energy Rewards RFP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2,974.28</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493.67</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Retrofit</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5,761.04</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968.21</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New Equipment and Construction</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1,747.43</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338.81</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Direct Install</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2,291.02</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572.04</w:t>
            </w:r>
          </w:p>
        </w:tc>
      </w:tr>
      <w:tr w:rsidR="00606666" w:rsidRPr="009F4F2E" w:rsidTr="00E85BB5">
        <w:trPr>
          <w:trHeight w:val="300"/>
        </w:trPr>
        <w:tc>
          <w:tcPr>
            <w:tcW w:w="4220" w:type="dxa"/>
            <w:tcBorders>
              <w:top w:val="nil"/>
              <w:left w:val="single" w:sz="12" w:space="0" w:color="auto"/>
              <w:bottom w:val="single" w:sz="8" w:space="0" w:color="auto"/>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Municipal</w:t>
            </w:r>
          </w:p>
        </w:tc>
        <w:tc>
          <w:tcPr>
            <w:tcW w:w="1700" w:type="dxa"/>
            <w:tcBorders>
              <w:top w:val="nil"/>
              <w:left w:val="single" w:sz="12" w:space="0" w:color="auto"/>
              <w:bottom w:val="single" w:sz="8" w:space="0" w:color="auto"/>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nil"/>
              <w:left w:val="nil"/>
              <w:bottom w:val="single" w:sz="8" w:space="0" w:color="auto"/>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1,633.52</w:t>
            </w:r>
          </w:p>
        </w:tc>
        <w:tc>
          <w:tcPr>
            <w:tcW w:w="1380" w:type="dxa"/>
            <w:tcBorders>
              <w:top w:val="nil"/>
              <w:left w:val="single" w:sz="4" w:space="0" w:color="auto"/>
              <w:bottom w:val="single" w:sz="8" w:space="0" w:color="auto"/>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single" w:sz="8" w:space="0" w:color="auto"/>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126.04</w:t>
            </w:r>
          </w:p>
        </w:tc>
      </w:tr>
      <w:tr w:rsidR="00606666" w:rsidRPr="009F4F2E" w:rsidTr="00E85BB5">
        <w:trPr>
          <w:trHeight w:val="300"/>
        </w:trPr>
        <w:tc>
          <w:tcPr>
            <w:tcW w:w="4220" w:type="dxa"/>
            <w:tcBorders>
              <w:top w:val="nil"/>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Sub-total C&amp;I and Municipal</w:t>
            </w:r>
          </w:p>
        </w:tc>
        <w:tc>
          <w:tcPr>
            <w:tcW w:w="1700" w:type="dxa"/>
            <w:tcBorders>
              <w:top w:val="nil"/>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nil"/>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43,077.94</w:t>
            </w:r>
          </w:p>
        </w:tc>
        <w:tc>
          <w:tcPr>
            <w:tcW w:w="1380" w:type="dxa"/>
            <w:tcBorders>
              <w:top w:val="nil"/>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5,672.56</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ESHomes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682.94</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ESProducts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3,460.76</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HEA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551.32</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HPwES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418.93</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Home Energy Reports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5,950.40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single" w:sz="8" w:space="0" w:color="auto"/>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Sub-total Residential </w:t>
            </w:r>
          </w:p>
        </w:tc>
        <w:tc>
          <w:tcPr>
            <w:tcW w:w="1700" w:type="dxa"/>
            <w:tcBorders>
              <w:top w:val="single" w:sz="8" w:space="0" w:color="auto"/>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 xml:space="preserve"> n/a </w:t>
            </w:r>
          </w:p>
        </w:tc>
        <w:tc>
          <w:tcPr>
            <w:tcW w:w="1780" w:type="dxa"/>
            <w:tcBorders>
              <w:top w:val="single" w:sz="8" w:space="0" w:color="auto"/>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 xml:space="preserve">      11,064.35 </w:t>
            </w:r>
          </w:p>
        </w:tc>
        <w:tc>
          <w:tcPr>
            <w:tcW w:w="1380" w:type="dxa"/>
            <w:tcBorders>
              <w:top w:val="single" w:sz="8" w:space="0" w:color="auto"/>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8" w:space="0" w:color="auto"/>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nil"/>
              <w:left w:val="single" w:sz="12" w:space="0" w:color="auto"/>
              <w:bottom w:val="single" w:sz="12" w:space="0" w:color="auto"/>
              <w:right w:val="nil"/>
            </w:tcBorders>
            <w:shd w:val="clear" w:color="auto" w:fill="D9D9D9"/>
            <w:noWrap/>
            <w:vAlign w:val="center"/>
            <w:hideMark/>
          </w:tcPr>
          <w:p w:rsidR="00606666" w:rsidRPr="009F4F2E" w:rsidRDefault="00606666" w:rsidP="00E85BB5">
            <w:pPr>
              <w:spacing w:after="0" w:line="240" w:lineRule="auto"/>
              <w:rPr>
                <w:rFonts w:eastAsia="Times New Roman" w:cs="Calibri"/>
                <w:b/>
                <w:bCs/>
                <w:color w:val="000000"/>
              </w:rPr>
            </w:pPr>
            <w:r w:rsidRPr="009F4F2E">
              <w:rPr>
                <w:rFonts w:eastAsia="Times New Roman" w:cs="Calibri"/>
                <w:b/>
                <w:bCs/>
                <w:color w:val="000000"/>
              </w:rPr>
              <w:t>Total, 2020 Measures</w:t>
            </w:r>
          </w:p>
        </w:tc>
        <w:tc>
          <w:tcPr>
            <w:tcW w:w="1700" w:type="dxa"/>
            <w:tcBorders>
              <w:top w:val="nil"/>
              <w:left w:val="single" w:sz="12"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n/a</w:t>
            </w:r>
          </w:p>
        </w:tc>
        <w:tc>
          <w:tcPr>
            <w:tcW w:w="1780" w:type="dxa"/>
            <w:tcBorders>
              <w:top w:val="nil"/>
              <w:left w:val="nil"/>
              <w:bottom w:val="single" w:sz="12" w:space="0" w:color="auto"/>
              <w:right w:val="nil"/>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54,142.28</w:t>
            </w:r>
          </w:p>
        </w:tc>
        <w:tc>
          <w:tcPr>
            <w:tcW w:w="1380" w:type="dxa"/>
            <w:tcBorders>
              <w:top w:val="nil"/>
              <w:left w:val="single" w:sz="4"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n/a</w:t>
            </w:r>
          </w:p>
        </w:tc>
        <w:tc>
          <w:tcPr>
            <w:tcW w:w="1520" w:type="dxa"/>
            <w:tcBorders>
              <w:top w:val="nil"/>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5,672.56</w:t>
            </w:r>
          </w:p>
        </w:tc>
      </w:tr>
    </w:tbl>
    <w:p w:rsidR="00606666" w:rsidRPr="009F4F2E" w:rsidRDefault="00606666" w:rsidP="00606666">
      <w:pPr>
        <w:ind w:right="-900"/>
        <w:rPr>
          <w:rFonts w:cs="Calibri"/>
          <w:b/>
        </w:rPr>
      </w:pPr>
      <w:r w:rsidRPr="009F4F2E">
        <w:rPr>
          <w:rFonts w:cs="Calibri"/>
          <w:sz w:val="20"/>
          <w:vertAlign w:val="superscript"/>
        </w:rPr>
        <w:t>a</w:t>
      </w:r>
      <w:r w:rsidRPr="009F4F2E">
        <w:rPr>
          <w:rFonts w:cs="Calibri"/>
          <w:sz w:val="20"/>
        </w:rPr>
        <w:t>See annual MWh savings sub-totals for C&amp;I and Residential on Bates 222 and 227. First year savings are divided in half.</w:t>
      </w:r>
      <w:r w:rsidRPr="009F4F2E">
        <w:rPr>
          <w:rFonts w:cs="Calibri"/>
          <w:sz w:val="20"/>
        </w:rPr>
        <w:br/>
      </w:r>
      <w:r w:rsidRPr="009F4F2E">
        <w:rPr>
          <w:rFonts w:cs="Calibri"/>
          <w:sz w:val="20"/>
          <w:vertAlign w:val="superscript"/>
        </w:rPr>
        <w:t>b</w:t>
      </w:r>
      <w:r w:rsidRPr="009F4F2E">
        <w:rPr>
          <w:rFonts w:cs="Calibri"/>
          <w:sz w:val="20"/>
        </w:rPr>
        <w:t xml:space="preserve">The kW savings values reflect monthly demand charge impacts. </w:t>
      </w:r>
      <w:r w:rsidR="00FB07A3">
        <w:rPr>
          <w:rFonts w:cs="Calibri"/>
          <w:sz w:val="20"/>
        </w:rPr>
        <w:t>Annualized kW savings are derived by multiplying by 12.</w:t>
      </w:r>
      <w:r w:rsidRPr="009F4F2E">
        <w:rPr>
          <w:rFonts w:cs="Calibri"/>
        </w:rPr>
        <w:br/>
      </w:r>
      <w:r w:rsidRPr="009F4F2E">
        <w:rPr>
          <w:rFonts w:cs="Calibri"/>
          <w:sz w:val="28"/>
          <w:szCs w:val="28"/>
        </w:rPr>
        <w:br w:type="page"/>
      </w:r>
      <w:r w:rsidRPr="00527EA7">
        <w:rPr>
          <w:rFonts w:cs="Calibri"/>
          <w:b/>
          <w:sz w:val="26"/>
          <w:szCs w:val="26"/>
        </w:rPr>
        <w:t>Appendix B (2 of 3):  Planned kW and kWh savings for Lost Based Revenue</w:t>
      </w:r>
      <w:r w:rsidRPr="009F4F2E">
        <w:rPr>
          <w:rFonts w:cs="Calibri"/>
          <w:b/>
        </w:rPr>
        <w:t xml:space="preserve"> </w:t>
      </w:r>
    </w:p>
    <w:p w:rsidR="00606666" w:rsidRPr="009F4F2E" w:rsidRDefault="00606666" w:rsidP="00606666">
      <w:pPr>
        <w:ind w:right="-900"/>
        <w:rPr>
          <w:rFonts w:cs="Calibri"/>
          <w:b/>
        </w:rPr>
      </w:pPr>
      <w:r w:rsidRPr="009F4F2E">
        <w:rPr>
          <w:rFonts w:cs="Calibri"/>
          <w:b/>
        </w:rPr>
        <w:t>Table 2</w:t>
      </w:r>
      <w:r w:rsidR="004776FD">
        <w:rPr>
          <w:rFonts w:cs="Calibri"/>
          <w:b/>
        </w:rPr>
        <w:t>:</w:t>
      </w:r>
      <w:r w:rsidRPr="009F4F2E">
        <w:rPr>
          <w:rFonts w:cs="Calibri"/>
          <w:b/>
        </w:rPr>
        <w:t xml:space="preserve"> Liberty Planned Savings for Lost Base Revenues, Measures Installed in 2019 and 2020</w:t>
      </w:r>
    </w:p>
    <w:tbl>
      <w:tblPr>
        <w:tblW w:w="10600" w:type="dxa"/>
        <w:tblInd w:w="-555" w:type="dxa"/>
        <w:tblLook w:val="04A0" w:firstRow="1" w:lastRow="0" w:firstColumn="1" w:lastColumn="0" w:noHBand="0" w:noVBand="1"/>
      </w:tblPr>
      <w:tblGrid>
        <w:gridCol w:w="4220"/>
        <w:gridCol w:w="1700"/>
        <w:gridCol w:w="1780"/>
        <w:gridCol w:w="1380"/>
        <w:gridCol w:w="1520"/>
      </w:tblGrid>
      <w:tr w:rsidR="00606666" w:rsidRPr="009F4F2E" w:rsidTr="00E85BB5">
        <w:trPr>
          <w:trHeight w:val="600"/>
        </w:trPr>
        <w:tc>
          <w:tcPr>
            <w:tcW w:w="422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Program</w:t>
            </w:r>
          </w:p>
        </w:tc>
        <w:tc>
          <w:tcPr>
            <w:tcW w:w="170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2019 MWh Savings</w:t>
            </w:r>
            <w:r w:rsidRPr="009F4F2E">
              <w:rPr>
                <w:rFonts w:eastAsia="Times New Roman" w:cs="Calibri"/>
                <w:b/>
                <w:bCs/>
                <w:color w:val="000000"/>
                <w:vertAlign w:val="superscript"/>
              </w:rPr>
              <w:t>a</w:t>
            </w:r>
          </w:p>
        </w:tc>
        <w:tc>
          <w:tcPr>
            <w:tcW w:w="178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2020 MWh Savings</w:t>
            </w:r>
            <w:r w:rsidRPr="009F4F2E">
              <w:rPr>
                <w:rFonts w:eastAsia="Times New Roman" w:cs="Calibri"/>
                <w:b/>
                <w:bCs/>
                <w:color w:val="000000"/>
                <w:vertAlign w:val="superscript"/>
              </w:rPr>
              <w:t>a</w:t>
            </w:r>
          </w:p>
        </w:tc>
        <w:tc>
          <w:tcPr>
            <w:tcW w:w="138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2019 kW Savings</w:t>
            </w:r>
            <w:r w:rsidRPr="009F4F2E">
              <w:rPr>
                <w:rFonts w:eastAsia="Times New Roman" w:cs="Calibri"/>
                <w:b/>
                <w:bCs/>
                <w:color w:val="000000"/>
                <w:vertAlign w:val="superscript"/>
              </w:rPr>
              <w:t>b</w:t>
            </w:r>
          </w:p>
        </w:tc>
        <w:tc>
          <w:tcPr>
            <w:tcW w:w="1520" w:type="dxa"/>
            <w:tcBorders>
              <w:top w:val="single" w:sz="12" w:space="0" w:color="auto"/>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2020 kW Savings</w:t>
            </w:r>
            <w:r w:rsidRPr="009F4F2E">
              <w:rPr>
                <w:rFonts w:eastAsia="Times New Roman" w:cs="Calibri"/>
                <w:b/>
                <w:bCs/>
                <w:color w:val="000000"/>
                <w:vertAlign w:val="superscript"/>
              </w:rPr>
              <w:t>b</w:t>
            </w:r>
          </w:p>
        </w:tc>
      </w:tr>
      <w:tr w:rsidR="00606666" w:rsidRPr="009F4F2E" w:rsidTr="00E85BB5">
        <w:trPr>
          <w:trHeight w:val="310"/>
        </w:trPr>
        <w:tc>
          <w:tcPr>
            <w:tcW w:w="10600" w:type="dxa"/>
            <w:gridSpan w:val="5"/>
            <w:tcBorders>
              <w:top w:val="single" w:sz="12" w:space="0" w:color="auto"/>
              <w:left w:val="single" w:sz="12" w:space="0" w:color="auto"/>
              <w:bottom w:val="single" w:sz="12" w:space="0" w:color="auto"/>
              <w:right w:val="single" w:sz="12" w:space="0" w:color="000000"/>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Savings from Measures Installed in 2019</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Retrofit </w:t>
            </w:r>
          </w:p>
        </w:tc>
        <w:tc>
          <w:tcPr>
            <w:tcW w:w="1700" w:type="dxa"/>
            <w:tcBorders>
              <w:top w:val="single" w:sz="12" w:space="0" w:color="auto"/>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1,307.57</w:t>
            </w:r>
          </w:p>
        </w:tc>
        <w:tc>
          <w:tcPr>
            <w:tcW w:w="1780" w:type="dxa"/>
            <w:tcBorders>
              <w:top w:val="single" w:sz="12" w:space="0" w:color="auto"/>
              <w:left w:val="nil"/>
              <w:bottom w:val="nil"/>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2,615.14</w:t>
            </w:r>
          </w:p>
        </w:tc>
        <w:tc>
          <w:tcPr>
            <w:tcW w:w="1380" w:type="dxa"/>
            <w:tcBorders>
              <w:top w:val="single" w:sz="12" w:space="0" w:color="auto"/>
              <w:left w:val="single" w:sz="4"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203.90</w:t>
            </w:r>
          </w:p>
        </w:tc>
        <w:tc>
          <w:tcPr>
            <w:tcW w:w="1520" w:type="dxa"/>
            <w:tcBorders>
              <w:top w:val="single" w:sz="12" w:space="0" w:color="auto"/>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407.79</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New Equipment and Construction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793.18</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1,586.37</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69.26</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138.53</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Retrofit</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980.35</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1,960.70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123.55</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247.09</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New Equipment and Construction</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421.97</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843.94</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71.76</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143.52</w:t>
            </w:r>
          </w:p>
        </w:tc>
      </w:tr>
      <w:tr w:rsidR="00606666" w:rsidRPr="009F4F2E" w:rsidTr="00E85BB5">
        <w:trPr>
          <w:trHeight w:val="300"/>
        </w:trPr>
        <w:tc>
          <w:tcPr>
            <w:tcW w:w="4220" w:type="dxa"/>
            <w:tcBorders>
              <w:top w:val="nil"/>
              <w:left w:val="single" w:sz="12" w:space="0" w:color="auto"/>
              <w:bottom w:val="single" w:sz="8" w:space="0" w:color="auto"/>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Municipal</w:t>
            </w:r>
          </w:p>
        </w:tc>
        <w:tc>
          <w:tcPr>
            <w:tcW w:w="1700" w:type="dxa"/>
            <w:tcBorders>
              <w:top w:val="nil"/>
              <w:left w:val="single" w:sz="12" w:space="0" w:color="auto"/>
              <w:bottom w:val="single" w:sz="8" w:space="0" w:color="auto"/>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151.25</w:t>
            </w:r>
          </w:p>
        </w:tc>
        <w:tc>
          <w:tcPr>
            <w:tcW w:w="1780" w:type="dxa"/>
            <w:tcBorders>
              <w:top w:val="nil"/>
              <w:left w:val="nil"/>
              <w:bottom w:val="single" w:sz="8" w:space="0" w:color="auto"/>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302.50</w:t>
            </w:r>
          </w:p>
        </w:tc>
        <w:tc>
          <w:tcPr>
            <w:tcW w:w="1380" w:type="dxa"/>
            <w:tcBorders>
              <w:top w:val="nil"/>
              <w:left w:val="single" w:sz="4" w:space="0" w:color="auto"/>
              <w:bottom w:val="single" w:sz="8" w:space="0" w:color="auto"/>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9.23</w:t>
            </w:r>
          </w:p>
        </w:tc>
        <w:tc>
          <w:tcPr>
            <w:tcW w:w="1520" w:type="dxa"/>
            <w:tcBorders>
              <w:top w:val="nil"/>
              <w:left w:val="nil"/>
              <w:bottom w:val="single" w:sz="8" w:space="0" w:color="auto"/>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18.47</w:t>
            </w:r>
          </w:p>
        </w:tc>
      </w:tr>
      <w:tr w:rsidR="00606666" w:rsidRPr="009F4F2E" w:rsidTr="00E85BB5">
        <w:trPr>
          <w:trHeight w:val="300"/>
        </w:trPr>
        <w:tc>
          <w:tcPr>
            <w:tcW w:w="4220" w:type="dxa"/>
            <w:tcBorders>
              <w:top w:val="nil"/>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Sub-total C&amp;I and Municipal</w:t>
            </w:r>
          </w:p>
        </w:tc>
        <w:tc>
          <w:tcPr>
            <w:tcW w:w="1700" w:type="dxa"/>
            <w:tcBorders>
              <w:top w:val="nil"/>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3,654.32</w:t>
            </w:r>
          </w:p>
        </w:tc>
        <w:tc>
          <w:tcPr>
            <w:tcW w:w="1780" w:type="dxa"/>
            <w:tcBorders>
              <w:top w:val="nil"/>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7,308.63</w:t>
            </w:r>
          </w:p>
        </w:tc>
        <w:tc>
          <w:tcPr>
            <w:tcW w:w="1380" w:type="dxa"/>
            <w:tcBorders>
              <w:top w:val="nil"/>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477.70</w:t>
            </w:r>
          </w:p>
        </w:tc>
        <w:tc>
          <w:tcPr>
            <w:tcW w:w="1520" w:type="dxa"/>
            <w:tcBorders>
              <w:top w:val="nil"/>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955.40</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ESHomes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47.2</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94.4</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ESProducts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502.40</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1,004.80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HEA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39.9</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79.8</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HPwES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27.65</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55.3</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Home Energy Reports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270.00</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540.00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40"/>
        </w:trPr>
        <w:tc>
          <w:tcPr>
            <w:tcW w:w="4220" w:type="dxa"/>
            <w:tcBorders>
              <w:top w:val="single" w:sz="8" w:space="0" w:color="auto"/>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Sub-total Residential </w:t>
            </w:r>
          </w:p>
        </w:tc>
        <w:tc>
          <w:tcPr>
            <w:tcW w:w="1700" w:type="dxa"/>
            <w:tcBorders>
              <w:top w:val="single" w:sz="8" w:space="0" w:color="auto"/>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 xml:space="preserve">887.15 </w:t>
            </w:r>
          </w:p>
        </w:tc>
        <w:tc>
          <w:tcPr>
            <w:tcW w:w="1780" w:type="dxa"/>
            <w:tcBorders>
              <w:top w:val="single" w:sz="8" w:space="0" w:color="auto"/>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 xml:space="preserve">1,774.30 </w:t>
            </w:r>
          </w:p>
        </w:tc>
        <w:tc>
          <w:tcPr>
            <w:tcW w:w="1380" w:type="dxa"/>
            <w:tcBorders>
              <w:top w:val="single" w:sz="8" w:space="0" w:color="auto"/>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c>
          <w:tcPr>
            <w:tcW w:w="1520" w:type="dxa"/>
            <w:tcBorders>
              <w:top w:val="single" w:sz="8" w:space="0" w:color="auto"/>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300"/>
        </w:trPr>
        <w:tc>
          <w:tcPr>
            <w:tcW w:w="4220" w:type="dxa"/>
            <w:tcBorders>
              <w:top w:val="nil"/>
              <w:left w:val="single" w:sz="12" w:space="0" w:color="auto"/>
              <w:bottom w:val="single" w:sz="12" w:space="0" w:color="auto"/>
              <w:right w:val="nil"/>
            </w:tcBorders>
            <w:shd w:val="clear" w:color="auto" w:fill="D9D9D9"/>
            <w:noWrap/>
            <w:vAlign w:val="center"/>
            <w:hideMark/>
          </w:tcPr>
          <w:p w:rsidR="00606666" w:rsidRPr="009F4F2E" w:rsidRDefault="00606666" w:rsidP="00E85BB5">
            <w:pPr>
              <w:spacing w:after="0" w:line="240" w:lineRule="auto"/>
              <w:rPr>
                <w:rFonts w:eastAsia="Times New Roman" w:cs="Calibri"/>
                <w:b/>
                <w:bCs/>
                <w:color w:val="000000"/>
              </w:rPr>
            </w:pPr>
            <w:r w:rsidRPr="009F4F2E">
              <w:rPr>
                <w:rFonts w:eastAsia="Times New Roman" w:cs="Calibri"/>
                <w:b/>
                <w:bCs/>
                <w:color w:val="000000"/>
              </w:rPr>
              <w:t>Total, 2019 Measures</w:t>
            </w:r>
          </w:p>
        </w:tc>
        <w:tc>
          <w:tcPr>
            <w:tcW w:w="1700" w:type="dxa"/>
            <w:tcBorders>
              <w:top w:val="nil"/>
              <w:left w:val="single" w:sz="12"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color w:val="000000"/>
              </w:rPr>
            </w:pPr>
            <w:r w:rsidRPr="009F4F2E">
              <w:rPr>
                <w:rFonts w:eastAsia="Times New Roman" w:cs="Calibri"/>
                <w:b/>
                <w:color w:val="000000"/>
              </w:rPr>
              <w:t>4,541.47</w:t>
            </w:r>
          </w:p>
        </w:tc>
        <w:tc>
          <w:tcPr>
            <w:tcW w:w="1780" w:type="dxa"/>
            <w:tcBorders>
              <w:top w:val="nil"/>
              <w:left w:val="nil"/>
              <w:bottom w:val="single" w:sz="12" w:space="0" w:color="auto"/>
              <w:right w:val="nil"/>
            </w:tcBorders>
            <w:shd w:val="clear" w:color="auto" w:fill="D9D9D9"/>
            <w:vAlign w:val="center"/>
            <w:hideMark/>
          </w:tcPr>
          <w:p w:rsidR="00606666" w:rsidRPr="009F4F2E" w:rsidRDefault="00606666" w:rsidP="00E85BB5">
            <w:pPr>
              <w:spacing w:after="0" w:line="240" w:lineRule="auto"/>
              <w:jc w:val="right"/>
              <w:rPr>
                <w:rFonts w:eastAsia="Times New Roman" w:cs="Calibri"/>
                <w:b/>
                <w:color w:val="000000"/>
              </w:rPr>
            </w:pPr>
            <w:r w:rsidRPr="009F4F2E">
              <w:rPr>
                <w:rFonts w:eastAsia="Times New Roman" w:cs="Calibri"/>
                <w:b/>
                <w:color w:val="000000"/>
              </w:rPr>
              <w:t>9,082.93</w:t>
            </w:r>
          </w:p>
        </w:tc>
        <w:tc>
          <w:tcPr>
            <w:tcW w:w="1380" w:type="dxa"/>
            <w:tcBorders>
              <w:top w:val="nil"/>
              <w:left w:val="single" w:sz="4"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color w:val="000000"/>
              </w:rPr>
            </w:pPr>
            <w:r w:rsidRPr="009F4F2E">
              <w:rPr>
                <w:rFonts w:cs="Calibri"/>
                <w:b/>
                <w:bCs/>
                <w:color w:val="000000"/>
              </w:rPr>
              <w:t>477.70</w:t>
            </w:r>
          </w:p>
        </w:tc>
        <w:tc>
          <w:tcPr>
            <w:tcW w:w="1520" w:type="dxa"/>
            <w:tcBorders>
              <w:top w:val="nil"/>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color w:val="000000"/>
              </w:rPr>
            </w:pPr>
            <w:r w:rsidRPr="009F4F2E">
              <w:rPr>
                <w:rFonts w:cs="Calibri"/>
                <w:b/>
                <w:bCs/>
                <w:color w:val="000000"/>
              </w:rPr>
              <w:t>955.40</w:t>
            </w:r>
          </w:p>
        </w:tc>
      </w:tr>
      <w:tr w:rsidR="00606666" w:rsidRPr="009F4F2E" w:rsidTr="00E85BB5">
        <w:trPr>
          <w:trHeight w:val="310"/>
        </w:trPr>
        <w:tc>
          <w:tcPr>
            <w:tcW w:w="10600" w:type="dxa"/>
            <w:gridSpan w:val="5"/>
            <w:tcBorders>
              <w:top w:val="single" w:sz="12" w:space="0" w:color="auto"/>
              <w:left w:val="single" w:sz="12" w:space="0" w:color="auto"/>
              <w:bottom w:val="single" w:sz="12" w:space="0" w:color="auto"/>
              <w:right w:val="single" w:sz="12" w:space="0" w:color="000000"/>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Savings from Measures Installed in 2020</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Retrofit </w:t>
            </w:r>
          </w:p>
        </w:tc>
        <w:tc>
          <w:tcPr>
            <w:tcW w:w="1700" w:type="dxa"/>
            <w:tcBorders>
              <w:top w:val="single" w:sz="12" w:space="0" w:color="auto"/>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single" w:sz="12" w:space="0" w:color="auto"/>
              <w:left w:val="nil"/>
              <w:bottom w:val="nil"/>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1,735.60</w:t>
            </w:r>
          </w:p>
        </w:tc>
        <w:tc>
          <w:tcPr>
            <w:tcW w:w="1380" w:type="dxa"/>
            <w:tcBorders>
              <w:top w:val="single" w:sz="12" w:space="0" w:color="auto"/>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12" w:space="0" w:color="auto"/>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270.58</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New Equipment and Construction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1,066.87</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94.13</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Retrofit</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1,281.23</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159.75</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New Equipment and Construction</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617.31</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105.70</w:t>
            </w:r>
          </w:p>
        </w:tc>
      </w:tr>
      <w:tr w:rsidR="00606666" w:rsidRPr="009F4F2E" w:rsidTr="00E85BB5">
        <w:trPr>
          <w:trHeight w:val="300"/>
        </w:trPr>
        <w:tc>
          <w:tcPr>
            <w:tcW w:w="4220" w:type="dxa"/>
            <w:tcBorders>
              <w:top w:val="nil"/>
              <w:left w:val="single" w:sz="12" w:space="0" w:color="auto"/>
              <w:bottom w:val="single" w:sz="8" w:space="0" w:color="auto"/>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Municipal</w:t>
            </w:r>
          </w:p>
        </w:tc>
        <w:tc>
          <w:tcPr>
            <w:tcW w:w="1700" w:type="dxa"/>
            <w:tcBorders>
              <w:top w:val="nil"/>
              <w:left w:val="single" w:sz="12" w:space="0" w:color="auto"/>
              <w:bottom w:val="single" w:sz="8" w:space="0" w:color="auto"/>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nil"/>
              <w:left w:val="nil"/>
              <w:bottom w:val="single" w:sz="8" w:space="0" w:color="auto"/>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151.60</w:t>
            </w:r>
          </w:p>
        </w:tc>
        <w:tc>
          <w:tcPr>
            <w:tcW w:w="1380" w:type="dxa"/>
            <w:tcBorders>
              <w:top w:val="nil"/>
              <w:left w:val="single" w:sz="4" w:space="0" w:color="auto"/>
              <w:bottom w:val="single" w:sz="8" w:space="0" w:color="auto"/>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single" w:sz="8" w:space="0" w:color="auto"/>
              <w:right w:val="single" w:sz="12" w:space="0" w:color="auto"/>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306.79</w:t>
            </w:r>
          </w:p>
        </w:tc>
      </w:tr>
      <w:tr w:rsidR="00606666" w:rsidRPr="009F4F2E" w:rsidTr="00E85BB5">
        <w:trPr>
          <w:trHeight w:val="300"/>
        </w:trPr>
        <w:tc>
          <w:tcPr>
            <w:tcW w:w="4220" w:type="dxa"/>
            <w:tcBorders>
              <w:top w:val="nil"/>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Sub-total C&amp;I and Municipal</w:t>
            </w:r>
          </w:p>
        </w:tc>
        <w:tc>
          <w:tcPr>
            <w:tcW w:w="1700" w:type="dxa"/>
            <w:tcBorders>
              <w:top w:val="nil"/>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nil"/>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4,852.61</w:t>
            </w:r>
          </w:p>
        </w:tc>
        <w:tc>
          <w:tcPr>
            <w:tcW w:w="1380" w:type="dxa"/>
            <w:tcBorders>
              <w:top w:val="nil"/>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cs="Calibri"/>
                <w:color w:val="000000"/>
              </w:rPr>
              <w:t>936.96</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ESHomes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78.9</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ESProducts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635.00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HEA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52.2</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HPwES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36.95</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Home Energy Reports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180.00</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300"/>
        </w:trPr>
        <w:tc>
          <w:tcPr>
            <w:tcW w:w="4220" w:type="dxa"/>
            <w:tcBorders>
              <w:top w:val="single" w:sz="8" w:space="0" w:color="auto"/>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Sub-total Residential </w:t>
            </w:r>
          </w:p>
        </w:tc>
        <w:tc>
          <w:tcPr>
            <w:tcW w:w="1700" w:type="dxa"/>
            <w:tcBorders>
              <w:top w:val="single" w:sz="8" w:space="0" w:color="auto"/>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single" w:sz="8" w:space="0" w:color="auto"/>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 xml:space="preserve">   983.05 </w:t>
            </w:r>
          </w:p>
        </w:tc>
        <w:tc>
          <w:tcPr>
            <w:tcW w:w="1380" w:type="dxa"/>
            <w:tcBorders>
              <w:top w:val="single" w:sz="8" w:space="0" w:color="auto"/>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8" w:space="0" w:color="auto"/>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cs="Calibri"/>
                <w:color w:val="000000"/>
              </w:rPr>
              <w:t>n/a</w:t>
            </w:r>
          </w:p>
        </w:tc>
      </w:tr>
      <w:tr w:rsidR="00606666" w:rsidRPr="009F4F2E" w:rsidTr="00E85BB5">
        <w:trPr>
          <w:trHeight w:val="300"/>
        </w:trPr>
        <w:tc>
          <w:tcPr>
            <w:tcW w:w="4220" w:type="dxa"/>
            <w:tcBorders>
              <w:top w:val="nil"/>
              <w:left w:val="single" w:sz="12" w:space="0" w:color="auto"/>
              <w:bottom w:val="single" w:sz="12" w:space="0" w:color="auto"/>
              <w:right w:val="nil"/>
            </w:tcBorders>
            <w:shd w:val="clear" w:color="auto" w:fill="D9D9D9"/>
            <w:noWrap/>
            <w:vAlign w:val="center"/>
            <w:hideMark/>
          </w:tcPr>
          <w:p w:rsidR="00606666" w:rsidRPr="009F4F2E" w:rsidRDefault="00606666" w:rsidP="00E85BB5">
            <w:pPr>
              <w:spacing w:after="0" w:line="240" w:lineRule="auto"/>
              <w:rPr>
                <w:rFonts w:eastAsia="Times New Roman" w:cs="Calibri"/>
                <w:b/>
                <w:bCs/>
                <w:color w:val="000000"/>
              </w:rPr>
            </w:pPr>
            <w:r w:rsidRPr="009F4F2E">
              <w:rPr>
                <w:rFonts w:eastAsia="Times New Roman" w:cs="Calibri"/>
                <w:b/>
                <w:bCs/>
                <w:color w:val="000000"/>
              </w:rPr>
              <w:t>Total, 2020 Measures</w:t>
            </w:r>
          </w:p>
        </w:tc>
        <w:tc>
          <w:tcPr>
            <w:tcW w:w="1700" w:type="dxa"/>
            <w:tcBorders>
              <w:top w:val="nil"/>
              <w:left w:val="single" w:sz="12"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color w:val="000000"/>
              </w:rPr>
            </w:pPr>
            <w:r w:rsidRPr="009F4F2E">
              <w:rPr>
                <w:rFonts w:eastAsia="Times New Roman" w:cs="Calibri"/>
                <w:b/>
                <w:color w:val="000000"/>
              </w:rPr>
              <w:t>n/a</w:t>
            </w:r>
          </w:p>
        </w:tc>
        <w:tc>
          <w:tcPr>
            <w:tcW w:w="1780" w:type="dxa"/>
            <w:tcBorders>
              <w:top w:val="nil"/>
              <w:left w:val="nil"/>
              <w:bottom w:val="single" w:sz="12" w:space="0" w:color="auto"/>
              <w:right w:val="nil"/>
            </w:tcBorders>
            <w:shd w:val="clear" w:color="auto" w:fill="D9D9D9"/>
            <w:vAlign w:val="center"/>
            <w:hideMark/>
          </w:tcPr>
          <w:p w:rsidR="00606666" w:rsidRPr="009F4F2E" w:rsidRDefault="00606666" w:rsidP="00E85BB5">
            <w:pPr>
              <w:spacing w:after="0" w:line="240" w:lineRule="auto"/>
              <w:jc w:val="right"/>
              <w:rPr>
                <w:rFonts w:eastAsia="Times New Roman" w:cs="Calibri"/>
                <w:b/>
                <w:color w:val="000000"/>
              </w:rPr>
            </w:pPr>
            <w:r w:rsidRPr="009F4F2E">
              <w:rPr>
                <w:rFonts w:eastAsia="Times New Roman" w:cs="Calibri"/>
                <w:b/>
                <w:color w:val="000000"/>
              </w:rPr>
              <w:t>5,835.66</w:t>
            </w:r>
          </w:p>
        </w:tc>
        <w:tc>
          <w:tcPr>
            <w:tcW w:w="1380" w:type="dxa"/>
            <w:tcBorders>
              <w:top w:val="nil"/>
              <w:left w:val="single" w:sz="4"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color w:val="000000"/>
              </w:rPr>
            </w:pPr>
            <w:r w:rsidRPr="009F4F2E">
              <w:rPr>
                <w:rFonts w:eastAsia="Times New Roman" w:cs="Calibri"/>
                <w:b/>
                <w:color w:val="000000"/>
              </w:rPr>
              <w:t>n/a</w:t>
            </w:r>
          </w:p>
        </w:tc>
        <w:tc>
          <w:tcPr>
            <w:tcW w:w="1520" w:type="dxa"/>
            <w:tcBorders>
              <w:top w:val="nil"/>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color w:val="000000"/>
              </w:rPr>
            </w:pPr>
            <w:r w:rsidRPr="009F4F2E">
              <w:rPr>
                <w:rFonts w:cs="Calibri"/>
                <w:b/>
                <w:bCs/>
                <w:color w:val="000000"/>
              </w:rPr>
              <w:t>936.96</w:t>
            </w:r>
          </w:p>
        </w:tc>
      </w:tr>
    </w:tbl>
    <w:p w:rsidR="00606666" w:rsidRPr="009F4F2E" w:rsidRDefault="00606666" w:rsidP="00606666">
      <w:pPr>
        <w:ind w:right="-900"/>
        <w:rPr>
          <w:rFonts w:cs="Calibri"/>
        </w:rPr>
      </w:pPr>
      <w:r w:rsidRPr="009F4F2E">
        <w:rPr>
          <w:rFonts w:cs="Calibri"/>
          <w:sz w:val="20"/>
          <w:vertAlign w:val="superscript"/>
        </w:rPr>
        <w:t>a</w:t>
      </w:r>
      <w:r w:rsidRPr="009F4F2E">
        <w:rPr>
          <w:rFonts w:cs="Calibri"/>
          <w:sz w:val="20"/>
        </w:rPr>
        <w:t>See annual MWh savings sub-totals for C&amp;I and Residential on Bates 260 and 265. First year savings are divided in half.</w:t>
      </w:r>
      <w:r w:rsidRPr="009F4F2E">
        <w:rPr>
          <w:rFonts w:cs="Calibri"/>
          <w:sz w:val="20"/>
        </w:rPr>
        <w:br/>
      </w:r>
      <w:r w:rsidRPr="009F4F2E">
        <w:rPr>
          <w:rFonts w:cs="Calibri"/>
          <w:sz w:val="20"/>
          <w:vertAlign w:val="superscript"/>
        </w:rPr>
        <w:t>b</w:t>
      </w:r>
      <w:r w:rsidRPr="009F4F2E">
        <w:rPr>
          <w:rFonts w:cs="Calibri"/>
          <w:sz w:val="20"/>
        </w:rPr>
        <w:t xml:space="preserve">The kW savings values reflect monthly demand charge impacts. </w:t>
      </w:r>
      <w:r w:rsidR="00FB07A3">
        <w:rPr>
          <w:rFonts w:cs="Calibri"/>
          <w:sz w:val="20"/>
        </w:rPr>
        <w:t>Annualized savings are derived by multiplying by 12.</w:t>
      </w:r>
      <w:r w:rsidRPr="009F4F2E">
        <w:rPr>
          <w:rFonts w:cs="Calibri"/>
        </w:rPr>
        <w:br/>
      </w:r>
    </w:p>
    <w:p w:rsidR="00606666" w:rsidRPr="009F4F2E" w:rsidRDefault="00606666" w:rsidP="00606666">
      <w:pPr>
        <w:rPr>
          <w:rFonts w:cs="Calibri"/>
          <w:sz w:val="28"/>
          <w:szCs w:val="28"/>
        </w:rPr>
      </w:pPr>
    </w:p>
    <w:p w:rsidR="00606666" w:rsidRPr="009F4F2E" w:rsidRDefault="00606666" w:rsidP="00606666">
      <w:pPr>
        <w:rPr>
          <w:rFonts w:cs="Calibri"/>
          <w:sz w:val="28"/>
          <w:szCs w:val="28"/>
        </w:rPr>
      </w:pPr>
    </w:p>
    <w:p w:rsidR="00606666" w:rsidRPr="009F4F2E" w:rsidRDefault="00606666" w:rsidP="00606666">
      <w:pPr>
        <w:rPr>
          <w:rFonts w:cs="Calibri"/>
          <w:sz w:val="28"/>
          <w:szCs w:val="28"/>
        </w:rPr>
      </w:pPr>
    </w:p>
    <w:p w:rsidR="00606666" w:rsidRPr="00527EA7" w:rsidRDefault="00606666" w:rsidP="00606666">
      <w:pPr>
        <w:ind w:right="-900"/>
        <w:rPr>
          <w:rFonts w:cs="Calibri"/>
          <w:b/>
        </w:rPr>
      </w:pPr>
      <w:r w:rsidRPr="00527EA7">
        <w:rPr>
          <w:rFonts w:cs="Calibri"/>
          <w:b/>
          <w:sz w:val="26"/>
          <w:szCs w:val="26"/>
        </w:rPr>
        <w:t>Appendix B (3 of 3)</w:t>
      </w:r>
      <w:r w:rsidR="004776FD" w:rsidRPr="00527EA7">
        <w:rPr>
          <w:rFonts w:cs="Calibri"/>
          <w:b/>
          <w:sz w:val="26"/>
          <w:szCs w:val="26"/>
        </w:rPr>
        <w:t>:</w:t>
      </w:r>
      <w:r w:rsidRPr="00527EA7">
        <w:rPr>
          <w:rFonts w:cs="Calibri"/>
          <w:b/>
          <w:sz w:val="26"/>
          <w:szCs w:val="26"/>
        </w:rPr>
        <w:t xml:space="preserve">  Planned kW and kWh savings for Lost Based Revenue</w:t>
      </w:r>
      <w:r w:rsidRPr="00527EA7">
        <w:rPr>
          <w:rFonts w:cs="Calibri"/>
          <w:b/>
        </w:rPr>
        <w:t xml:space="preserve"> </w:t>
      </w:r>
    </w:p>
    <w:p w:rsidR="00606666" w:rsidRPr="009F4F2E" w:rsidRDefault="00606666" w:rsidP="00606666">
      <w:pPr>
        <w:rPr>
          <w:rFonts w:cs="Calibri"/>
          <w:b/>
        </w:rPr>
      </w:pPr>
      <w:r w:rsidRPr="009F4F2E">
        <w:rPr>
          <w:rFonts w:cs="Calibri"/>
          <w:b/>
        </w:rPr>
        <w:t>Table 3</w:t>
      </w:r>
      <w:r w:rsidR="004776FD">
        <w:rPr>
          <w:rFonts w:cs="Calibri"/>
          <w:b/>
        </w:rPr>
        <w:t>:</w:t>
      </w:r>
      <w:r w:rsidRPr="009F4F2E">
        <w:rPr>
          <w:rFonts w:cs="Calibri"/>
          <w:b/>
        </w:rPr>
        <w:t xml:space="preserve"> Unitil Planned Savings for Lost Base Revenues, Measures Installed in 2019 and 2020</w:t>
      </w:r>
    </w:p>
    <w:tbl>
      <w:tblPr>
        <w:tblW w:w="10600" w:type="dxa"/>
        <w:tblInd w:w="-645" w:type="dxa"/>
        <w:tblLook w:val="04A0" w:firstRow="1" w:lastRow="0" w:firstColumn="1" w:lastColumn="0" w:noHBand="0" w:noVBand="1"/>
      </w:tblPr>
      <w:tblGrid>
        <w:gridCol w:w="4220"/>
        <w:gridCol w:w="1700"/>
        <w:gridCol w:w="1780"/>
        <w:gridCol w:w="1380"/>
        <w:gridCol w:w="1520"/>
      </w:tblGrid>
      <w:tr w:rsidR="00606666" w:rsidRPr="009F4F2E" w:rsidTr="00E85BB5">
        <w:trPr>
          <w:trHeight w:val="600"/>
        </w:trPr>
        <w:tc>
          <w:tcPr>
            <w:tcW w:w="4220" w:type="dxa"/>
            <w:tcBorders>
              <w:top w:val="single" w:sz="12" w:space="0" w:color="auto"/>
              <w:left w:val="single" w:sz="12" w:space="0" w:color="auto"/>
              <w:bottom w:val="single" w:sz="12" w:space="0" w:color="auto"/>
              <w:right w:val="single" w:sz="12" w:space="0" w:color="auto"/>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Program</w:t>
            </w:r>
          </w:p>
        </w:tc>
        <w:tc>
          <w:tcPr>
            <w:tcW w:w="170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2019 MWh Savings</w:t>
            </w:r>
            <w:r w:rsidRPr="009F4F2E">
              <w:rPr>
                <w:rFonts w:eastAsia="Times New Roman" w:cs="Calibri"/>
                <w:b/>
                <w:bCs/>
                <w:color w:val="000000"/>
                <w:vertAlign w:val="superscript"/>
              </w:rPr>
              <w:t>a</w:t>
            </w:r>
          </w:p>
        </w:tc>
        <w:tc>
          <w:tcPr>
            <w:tcW w:w="178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2020 MWh Savings</w:t>
            </w:r>
            <w:r w:rsidRPr="009F4F2E">
              <w:rPr>
                <w:rFonts w:eastAsia="Times New Roman" w:cs="Calibri"/>
                <w:b/>
                <w:bCs/>
                <w:color w:val="000000"/>
                <w:vertAlign w:val="superscript"/>
              </w:rPr>
              <w:t>a</w:t>
            </w:r>
          </w:p>
        </w:tc>
        <w:tc>
          <w:tcPr>
            <w:tcW w:w="1380" w:type="dxa"/>
            <w:tcBorders>
              <w:top w:val="single" w:sz="12" w:space="0" w:color="auto"/>
              <w:left w:val="nil"/>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2019 kW Savings</w:t>
            </w:r>
            <w:r w:rsidRPr="009F4F2E">
              <w:rPr>
                <w:rFonts w:eastAsia="Times New Roman" w:cs="Calibri"/>
                <w:b/>
                <w:bCs/>
                <w:color w:val="000000"/>
                <w:vertAlign w:val="superscript"/>
              </w:rPr>
              <w:t>b</w:t>
            </w:r>
          </w:p>
        </w:tc>
        <w:tc>
          <w:tcPr>
            <w:tcW w:w="1520" w:type="dxa"/>
            <w:tcBorders>
              <w:top w:val="single" w:sz="12" w:space="0" w:color="auto"/>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vertAlign w:val="superscript"/>
              </w:rPr>
            </w:pPr>
            <w:r w:rsidRPr="009F4F2E">
              <w:rPr>
                <w:rFonts w:eastAsia="Times New Roman" w:cs="Calibri"/>
                <w:b/>
                <w:bCs/>
                <w:color w:val="000000"/>
              </w:rPr>
              <w:t>2020 kW Savings</w:t>
            </w:r>
            <w:r w:rsidRPr="009F4F2E">
              <w:rPr>
                <w:rFonts w:eastAsia="Times New Roman" w:cs="Calibri"/>
                <w:b/>
                <w:bCs/>
                <w:color w:val="000000"/>
                <w:vertAlign w:val="superscript"/>
              </w:rPr>
              <w:t>b</w:t>
            </w:r>
          </w:p>
        </w:tc>
      </w:tr>
      <w:tr w:rsidR="00606666" w:rsidRPr="009F4F2E" w:rsidTr="00E85BB5">
        <w:trPr>
          <w:trHeight w:val="310"/>
        </w:trPr>
        <w:tc>
          <w:tcPr>
            <w:tcW w:w="10600" w:type="dxa"/>
            <w:gridSpan w:val="5"/>
            <w:tcBorders>
              <w:top w:val="single" w:sz="12" w:space="0" w:color="auto"/>
              <w:left w:val="single" w:sz="12" w:space="0" w:color="auto"/>
              <w:bottom w:val="single" w:sz="12" w:space="0" w:color="auto"/>
              <w:right w:val="single" w:sz="12" w:space="0" w:color="000000"/>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Savings from Measures Installed in 2019</w:t>
            </w:r>
          </w:p>
        </w:tc>
      </w:tr>
      <w:tr w:rsidR="00606666" w:rsidRPr="009F4F2E" w:rsidTr="00E85BB5">
        <w:trPr>
          <w:trHeight w:val="177"/>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Retrofit </w:t>
            </w:r>
          </w:p>
        </w:tc>
        <w:tc>
          <w:tcPr>
            <w:tcW w:w="1700" w:type="dxa"/>
            <w:tcBorders>
              <w:top w:val="single" w:sz="12" w:space="0" w:color="auto"/>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1,484.36</w:t>
            </w:r>
          </w:p>
        </w:tc>
        <w:tc>
          <w:tcPr>
            <w:tcW w:w="1780" w:type="dxa"/>
            <w:tcBorders>
              <w:top w:val="single" w:sz="12" w:space="0" w:color="auto"/>
              <w:left w:val="nil"/>
              <w:bottom w:val="nil"/>
              <w:right w:val="nil"/>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2,968.72</w:t>
            </w:r>
          </w:p>
        </w:tc>
        <w:tc>
          <w:tcPr>
            <w:tcW w:w="1380" w:type="dxa"/>
            <w:tcBorders>
              <w:top w:val="single" w:sz="12" w:space="0" w:color="auto"/>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179.26 </w:t>
            </w:r>
          </w:p>
        </w:tc>
        <w:tc>
          <w:tcPr>
            <w:tcW w:w="1520" w:type="dxa"/>
            <w:tcBorders>
              <w:top w:val="single" w:sz="12" w:space="0" w:color="auto"/>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358.53 </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New Equipment and Construction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589.75</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1,179.50</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100.03 </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200.05 </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Energy Rewards RFP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   </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   </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Retrofit</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297.48</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594.96</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49.15 </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98.31 </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New Equipment and Construction</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   </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   </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Direct Install</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909.39</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1,818.78</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112.01 </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224.02 </w:t>
            </w:r>
          </w:p>
        </w:tc>
      </w:tr>
      <w:tr w:rsidR="00606666" w:rsidRPr="009F4F2E" w:rsidTr="00E85BB5">
        <w:trPr>
          <w:trHeight w:val="20"/>
        </w:trPr>
        <w:tc>
          <w:tcPr>
            <w:tcW w:w="4220" w:type="dxa"/>
            <w:tcBorders>
              <w:top w:val="nil"/>
              <w:left w:val="single" w:sz="12" w:space="0" w:color="auto"/>
              <w:bottom w:val="single" w:sz="8" w:space="0" w:color="auto"/>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Municipal</w:t>
            </w:r>
          </w:p>
        </w:tc>
        <w:tc>
          <w:tcPr>
            <w:tcW w:w="1700" w:type="dxa"/>
            <w:tcBorders>
              <w:top w:val="nil"/>
              <w:left w:val="single" w:sz="12" w:space="0" w:color="auto"/>
              <w:bottom w:val="single" w:sz="8" w:space="0" w:color="auto"/>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229.29</w:t>
            </w:r>
          </w:p>
        </w:tc>
        <w:tc>
          <w:tcPr>
            <w:tcW w:w="1780" w:type="dxa"/>
            <w:tcBorders>
              <w:top w:val="nil"/>
              <w:left w:val="nil"/>
              <w:bottom w:val="single" w:sz="8" w:space="0" w:color="auto"/>
              <w:right w:val="nil"/>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458.57</w:t>
            </w:r>
          </w:p>
        </w:tc>
        <w:tc>
          <w:tcPr>
            <w:tcW w:w="1380" w:type="dxa"/>
            <w:tcBorders>
              <w:top w:val="nil"/>
              <w:left w:val="single" w:sz="4" w:space="0" w:color="auto"/>
              <w:bottom w:val="single" w:sz="8" w:space="0" w:color="auto"/>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16.45 </w:t>
            </w:r>
          </w:p>
        </w:tc>
        <w:tc>
          <w:tcPr>
            <w:tcW w:w="1520" w:type="dxa"/>
            <w:tcBorders>
              <w:top w:val="nil"/>
              <w:left w:val="nil"/>
              <w:bottom w:val="single" w:sz="8" w:space="0" w:color="auto"/>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32.91 </w:t>
            </w:r>
          </w:p>
        </w:tc>
      </w:tr>
      <w:tr w:rsidR="00606666" w:rsidRPr="009F4F2E" w:rsidTr="00E85BB5">
        <w:trPr>
          <w:trHeight w:val="20"/>
        </w:trPr>
        <w:tc>
          <w:tcPr>
            <w:tcW w:w="4220" w:type="dxa"/>
            <w:tcBorders>
              <w:top w:val="nil"/>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Sub-total C&amp;I and Municipal</w:t>
            </w:r>
          </w:p>
        </w:tc>
        <w:tc>
          <w:tcPr>
            <w:tcW w:w="1700" w:type="dxa"/>
            <w:tcBorders>
              <w:top w:val="nil"/>
              <w:left w:val="single" w:sz="12" w:space="0" w:color="auto"/>
              <w:bottom w:val="single" w:sz="8" w:space="0" w:color="auto"/>
              <w:right w:val="single" w:sz="4"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3,510.26</w:t>
            </w:r>
          </w:p>
        </w:tc>
        <w:tc>
          <w:tcPr>
            <w:tcW w:w="1780" w:type="dxa"/>
            <w:tcBorders>
              <w:top w:val="nil"/>
              <w:left w:val="nil"/>
              <w:bottom w:val="single" w:sz="8" w:space="0" w:color="auto"/>
              <w:right w:val="nil"/>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7,020.53</w:t>
            </w:r>
          </w:p>
        </w:tc>
        <w:tc>
          <w:tcPr>
            <w:tcW w:w="1380" w:type="dxa"/>
            <w:tcBorders>
              <w:top w:val="nil"/>
              <w:left w:val="single" w:sz="4" w:space="0" w:color="auto"/>
              <w:bottom w:val="single" w:sz="8" w:space="0" w:color="auto"/>
              <w:right w:val="single" w:sz="4"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456.91 </w:t>
            </w:r>
          </w:p>
        </w:tc>
        <w:tc>
          <w:tcPr>
            <w:tcW w:w="1520" w:type="dxa"/>
            <w:tcBorders>
              <w:top w:val="nil"/>
              <w:left w:val="nil"/>
              <w:bottom w:val="single" w:sz="8" w:space="0" w:color="auto"/>
              <w:right w:val="single" w:sz="12"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913.82 </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ESHomes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32.55</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65.09</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ESProducts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920.34</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1,840.67</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HEA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35.24</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70.47</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HPwES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38.62</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77.25</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Home Energy Reports </w:t>
            </w:r>
          </w:p>
        </w:tc>
        <w:tc>
          <w:tcPr>
            <w:tcW w:w="1700" w:type="dxa"/>
            <w:tcBorders>
              <w:top w:val="nil"/>
              <w:left w:val="single" w:sz="12" w:space="0" w:color="auto"/>
              <w:bottom w:val="nil"/>
              <w:right w:val="single" w:sz="4"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506.49</w:t>
            </w:r>
          </w:p>
        </w:tc>
        <w:tc>
          <w:tcPr>
            <w:tcW w:w="1780" w:type="dxa"/>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1,012.99</w:t>
            </w:r>
          </w:p>
        </w:tc>
        <w:tc>
          <w:tcPr>
            <w:tcW w:w="1380" w:type="dxa"/>
            <w:tcBorders>
              <w:top w:val="nil"/>
              <w:left w:val="single" w:sz="4" w:space="0" w:color="auto"/>
              <w:bottom w:val="nil"/>
              <w:right w:val="single" w:sz="4"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0"/>
        </w:trPr>
        <w:tc>
          <w:tcPr>
            <w:tcW w:w="4220" w:type="dxa"/>
            <w:tcBorders>
              <w:top w:val="single" w:sz="8" w:space="0" w:color="auto"/>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Sub-total Residential </w:t>
            </w:r>
          </w:p>
        </w:tc>
        <w:tc>
          <w:tcPr>
            <w:tcW w:w="1700" w:type="dxa"/>
            <w:tcBorders>
              <w:top w:val="single" w:sz="8" w:space="0" w:color="auto"/>
              <w:left w:val="single" w:sz="12" w:space="0" w:color="auto"/>
              <w:bottom w:val="single" w:sz="8" w:space="0" w:color="auto"/>
              <w:right w:val="single" w:sz="4"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1,533.24</w:t>
            </w:r>
          </w:p>
        </w:tc>
        <w:tc>
          <w:tcPr>
            <w:tcW w:w="1780" w:type="dxa"/>
            <w:tcBorders>
              <w:top w:val="single" w:sz="8" w:space="0" w:color="auto"/>
              <w:left w:val="nil"/>
              <w:bottom w:val="single" w:sz="8" w:space="0" w:color="auto"/>
              <w:right w:val="nil"/>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3,066.47</w:t>
            </w:r>
          </w:p>
        </w:tc>
        <w:tc>
          <w:tcPr>
            <w:tcW w:w="1380" w:type="dxa"/>
            <w:tcBorders>
              <w:top w:val="single" w:sz="8" w:space="0" w:color="auto"/>
              <w:left w:val="single" w:sz="4" w:space="0" w:color="auto"/>
              <w:bottom w:val="single" w:sz="8" w:space="0" w:color="auto"/>
              <w:right w:val="single" w:sz="4" w:space="0" w:color="auto"/>
            </w:tcBorders>
            <w:shd w:val="clear" w:color="auto" w:fill="F2F2F2"/>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8" w:space="0" w:color="auto"/>
              <w:left w:val="nil"/>
              <w:bottom w:val="single" w:sz="8" w:space="0" w:color="auto"/>
              <w:right w:val="single" w:sz="12" w:space="0" w:color="auto"/>
            </w:tcBorders>
            <w:shd w:val="clear" w:color="auto" w:fill="F2F2F2"/>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0"/>
        </w:trPr>
        <w:tc>
          <w:tcPr>
            <w:tcW w:w="4220" w:type="dxa"/>
            <w:tcBorders>
              <w:top w:val="nil"/>
              <w:left w:val="single" w:sz="12" w:space="0" w:color="auto"/>
              <w:bottom w:val="single" w:sz="12" w:space="0" w:color="auto"/>
              <w:right w:val="nil"/>
            </w:tcBorders>
            <w:shd w:val="clear" w:color="auto" w:fill="D9D9D9"/>
            <w:noWrap/>
            <w:vAlign w:val="center"/>
            <w:hideMark/>
          </w:tcPr>
          <w:p w:rsidR="00606666" w:rsidRPr="009F4F2E" w:rsidRDefault="00606666" w:rsidP="00E85BB5">
            <w:pPr>
              <w:spacing w:after="0" w:line="240" w:lineRule="auto"/>
              <w:rPr>
                <w:rFonts w:eastAsia="Times New Roman" w:cs="Calibri"/>
                <w:b/>
                <w:bCs/>
                <w:color w:val="000000"/>
              </w:rPr>
            </w:pPr>
            <w:r w:rsidRPr="009F4F2E">
              <w:rPr>
                <w:rFonts w:eastAsia="Times New Roman" w:cs="Calibri"/>
                <w:b/>
                <w:bCs/>
                <w:color w:val="000000"/>
              </w:rPr>
              <w:t>Total, 2019 Measures</w:t>
            </w:r>
          </w:p>
        </w:tc>
        <w:tc>
          <w:tcPr>
            <w:tcW w:w="1700" w:type="dxa"/>
            <w:tcBorders>
              <w:top w:val="nil"/>
              <w:left w:val="single" w:sz="12" w:space="0" w:color="auto"/>
              <w:bottom w:val="single" w:sz="12" w:space="0" w:color="auto"/>
              <w:right w:val="single" w:sz="4" w:space="0" w:color="auto"/>
            </w:tcBorders>
            <w:shd w:val="clear" w:color="auto" w:fill="D9D9D9"/>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5,043.50</w:t>
            </w:r>
          </w:p>
        </w:tc>
        <w:tc>
          <w:tcPr>
            <w:tcW w:w="1780" w:type="dxa"/>
            <w:tcBorders>
              <w:top w:val="nil"/>
              <w:left w:val="nil"/>
              <w:bottom w:val="single" w:sz="12" w:space="0" w:color="auto"/>
              <w:right w:val="nil"/>
            </w:tcBorders>
            <w:shd w:val="clear" w:color="auto" w:fill="D9D9D9"/>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10,087.00</w:t>
            </w:r>
          </w:p>
        </w:tc>
        <w:tc>
          <w:tcPr>
            <w:tcW w:w="1380" w:type="dxa"/>
            <w:tcBorders>
              <w:top w:val="nil"/>
              <w:left w:val="single" w:sz="4" w:space="0" w:color="auto"/>
              <w:bottom w:val="single" w:sz="12" w:space="0" w:color="auto"/>
              <w:right w:val="single" w:sz="4" w:space="0" w:color="auto"/>
            </w:tcBorders>
            <w:shd w:val="clear" w:color="auto" w:fill="D9D9D9"/>
            <w:hideMark/>
          </w:tcPr>
          <w:p w:rsidR="00606666" w:rsidRPr="009F4F2E" w:rsidRDefault="00606666" w:rsidP="00E85BB5">
            <w:pPr>
              <w:spacing w:after="0" w:line="240" w:lineRule="auto"/>
              <w:jc w:val="right"/>
              <w:rPr>
                <w:rFonts w:eastAsia="Times New Roman" w:cs="Calibri"/>
                <w:b/>
                <w:bCs/>
                <w:color w:val="000000"/>
              </w:rPr>
            </w:pPr>
            <w:r w:rsidRPr="009F4F2E">
              <w:rPr>
                <w:rFonts w:cs="Calibri"/>
                <w:b/>
              </w:rPr>
              <w:t xml:space="preserve"> 456.91 </w:t>
            </w:r>
          </w:p>
        </w:tc>
        <w:tc>
          <w:tcPr>
            <w:tcW w:w="1520" w:type="dxa"/>
            <w:tcBorders>
              <w:top w:val="nil"/>
              <w:left w:val="nil"/>
              <w:bottom w:val="single" w:sz="12" w:space="0" w:color="auto"/>
              <w:right w:val="single" w:sz="12" w:space="0" w:color="auto"/>
            </w:tcBorders>
            <w:shd w:val="clear" w:color="auto" w:fill="D9D9D9"/>
            <w:hideMark/>
          </w:tcPr>
          <w:p w:rsidR="00606666" w:rsidRPr="009F4F2E" w:rsidRDefault="00606666" w:rsidP="00E85BB5">
            <w:pPr>
              <w:spacing w:after="0" w:line="240" w:lineRule="auto"/>
              <w:jc w:val="right"/>
              <w:rPr>
                <w:rFonts w:eastAsia="Times New Roman" w:cs="Calibri"/>
                <w:b/>
                <w:bCs/>
                <w:color w:val="000000"/>
              </w:rPr>
            </w:pPr>
            <w:r w:rsidRPr="009F4F2E">
              <w:rPr>
                <w:rFonts w:cs="Calibri"/>
                <w:b/>
              </w:rPr>
              <w:t xml:space="preserve"> 913.82 </w:t>
            </w:r>
          </w:p>
        </w:tc>
      </w:tr>
      <w:tr w:rsidR="00606666" w:rsidRPr="009F4F2E" w:rsidTr="00E85BB5">
        <w:trPr>
          <w:trHeight w:val="310"/>
        </w:trPr>
        <w:tc>
          <w:tcPr>
            <w:tcW w:w="10600" w:type="dxa"/>
            <w:gridSpan w:val="5"/>
            <w:tcBorders>
              <w:top w:val="single" w:sz="12" w:space="0" w:color="auto"/>
              <w:left w:val="single" w:sz="12" w:space="0" w:color="auto"/>
              <w:bottom w:val="single" w:sz="12" w:space="0" w:color="auto"/>
              <w:right w:val="single" w:sz="12" w:space="0" w:color="000000"/>
            </w:tcBorders>
            <w:shd w:val="clear" w:color="auto" w:fill="D9D9D9"/>
            <w:noWrap/>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Savings from Measures Installed in 2020</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Retrofit </w:t>
            </w:r>
          </w:p>
        </w:tc>
        <w:tc>
          <w:tcPr>
            <w:tcW w:w="1700" w:type="dxa"/>
            <w:tcBorders>
              <w:top w:val="single" w:sz="12" w:space="0" w:color="auto"/>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single" w:sz="12" w:space="0" w:color="auto"/>
              <w:left w:val="nil"/>
              <w:bottom w:val="nil"/>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2,232.39</w:t>
            </w:r>
          </w:p>
        </w:tc>
        <w:tc>
          <w:tcPr>
            <w:tcW w:w="1380" w:type="dxa"/>
            <w:tcBorders>
              <w:top w:val="single" w:sz="12" w:space="0" w:color="auto"/>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12" w:space="0" w:color="auto"/>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258.29 </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New Equipment and Construction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832.15</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142.57 </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Large C&amp;I Energy Rewards RFP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   </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Retrofit</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463.93</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75.84 </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New Equipment and Construction</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   </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Small C&amp;I Direct Install</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1,303.32</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155.67 </w:t>
            </w:r>
          </w:p>
        </w:tc>
      </w:tr>
      <w:tr w:rsidR="00606666" w:rsidRPr="009F4F2E" w:rsidTr="00E85BB5">
        <w:trPr>
          <w:trHeight w:val="300"/>
        </w:trPr>
        <w:tc>
          <w:tcPr>
            <w:tcW w:w="4220" w:type="dxa"/>
            <w:tcBorders>
              <w:top w:val="nil"/>
              <w:left w:val="single" w:sz="12" w:space="0" w:color="auto"/>
              <w:bottom w:val="single" w:sz="8" w:space="0" w:color="auto"/>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Municipal</w:t>
            </w:r>
          </w:p>
        </w:tc>
        <w:tc>
          <w:tcPr>
            <w:tcW w:w="1700" w:type="dxa"/>
            <w:tcBorders>
              <w:top w:val="nil"/>
              <w:left w:val="single" w:sz="12" w:space="0" w:color="auto"/>
              <w:bottom w:val="single" w:sz="8" w:space="0" w:color="auto"/>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nil"/>
              <w:left w:val="nil"/>
              <w:bottom w:val="single" w:sz="8" w:space="0" w:color="auto"/>
              <w:right w:val="nil"/>
            </w:tcBorders>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214.83</w:t>
            </w:r>
          </w:p>
        </w:tc>
        <w:tc>
          <w:tcPr>
            <w:tcW w:w="1380" w:type="dxa"/>
            <w:tcBorders>
              <w:top w:val="nil"/>
              <w:left w:val="single" w:sz="4" w:space="0" w:color="auto"/>
              <w:bottom w:val="single" w:sz="8" w:space="0" w:color="auto"/>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single" w:sz="8" w:space="0" w:color="auto"/>
              <w:right w:val="single" w:sz="12" w:space="0" w:color="auto"/>
            </w:tcBorders>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15.78 </w:t>
            </w:r>
          </w:p>
        </w:tc>
      </w:tr>
      <w:tr w:rsidR="00606666" w:rsidRPr="009F4F2E" w:rsidTr="00E85BB5">
        <w:trPr>
          <w:trHeight w:val="300"/>
        </w:trPr>
        <w:tc>
          <w:tcPr>
            <w:tcW w:w="4220" w:type="dxa"/>
            <w:tcBorders>
              <w:top w:val="nil"/>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Sub-total C&amp;I and Municipal</w:t>
            </w:r>
          </w:p>
        </w:tc>
        <w:tc>
          <w:tcPr>
            <w:tcW w:w="1700" w:type="dxa"/>
            <w:tcBorders>
              <w:top w:val="nil"/>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tcBorders>
              <w:top w:val="nil"/>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5,046.62</w:t>
            </w:r>
          </w:p>
        </w:tc>
        <w:tc>
          <w:tcPr>
            <w:tcW w:w="1380" w:type="dxa"/>
            <w:tcBorders>
              <w:top w:val="nil"/>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single" w:sz="8" w:space="0" w:color="auto"/>
              <w:right w:val="single" w:sz="12" w:space="0" w:color="auto"/>
            </w:tcBorders>
            <w:shd w:val="clear" w:color="auto" w:fill="F2F2F2"/>
            <w:hideMark/>
          </w:tcPr>
          <w:p w:rsidR="00606666" w:rsidRPr="009F4F2E" w:rsidRDefault="00606666" w:rsidP="00E85BB5">
            <w:pPr>
              <w:spacing w:after="0" w:line="240" w:lineRule="auto"/>
              <w:jc w:val="right"/>
              <w:rPr>
                <w:rFonts w:eastAsia="Times New Roman" w:cs="Calibri"/>
                <w:color w:val="000000"/>
              </w:rPr>
            </w:pPr>
            <w:r w:rsidRPr="009F4F2E">
              <w:rPr>
                <w:rFonts w:cs="Calibri"/>
              </w:rPr>
              <w:t xml:space="preserve"> 648.16 </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ESHomes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40.62</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ESProducts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1,107.91</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HEA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43.09</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29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HPwES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45.48</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nil"/>
              <w:left w:val="single" w:sz="12" w:space="0" w:color="auto"/>
              <w:bottom w:val="nil"/>
              <w:right w:val="nil"/>
            </w:tcBorders>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Home Energy Reports </w:t>
            </w:r>
          </w:p>
        </w:tc>
        <w:tc>
          <w:tcPr>
            <w:tcW w:w="1700" w:type="dxa"/>
            <w:tcBorders>
              <w:top w:val="nil"/>
              <w:left w:val="single" w:sz="12"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780" w:type="dxa"/>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345.78</w:t>
            </w:r>
          </w:p>
        </w:tc>
        <w:tc>
          <w:tcPr>
            <w:tcW w:w="1380" w:type="dxa"/>
            <w:tcBorders>
              <w:top w:val="nil"/>
              <w:left w:val="single" w:sz="4" w:space="0" w:color="auto"/>
              <w:bottom w:val="nil"/>
              <w:right w:val="single" w:sz="4"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nil"/>
              <w:left w:val="nil"/>
              <w:bottom w:val="nil"/>
              <w:right w:val="single" w:sz="12" w:space="0" w:color="auto"/>
            </w:tcBorders>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single" w:sz="8" w:space="0" w:color="auto"/>
              <w:left w:val="single" w:sz="12" w:space="0" w:color="auto"/>
              <w:bottom w:val="single" w:sz="8" w:space="0" w:color="auto"/>
              <w:right w:val="nil"/>
            </w:tcBorders>
            <w:shd w:val="clear" w:color="auto" w:fill="F2F2F2"/>
            <w:noWrap/>
            <w:vAlign w:val="center"/>
            <w:hideMark/>
          </w:tcPr>
          <w:p w:rsidR="00606666" w:rsidRPr="009F4F2E" w:rsidRDefault="00606666" w:rsidP="00E85BB5">
            <w:pPr>
              <w:spacing w:after="0" w:line="240" w:lineRule="auto"/>
              <w:rPr>
                <w:rFonts w:eastAsia="Times New Roman" w:cs="Calibri"/>
                <w:color w:val="000000"/>
              </w:rPr>
            </w:pPr>
            <w:r w:rsidRPr="009F4F2E">
              <w:rPr>
                <w:rFonts w:eastAsia="Times New Roman" w:cs="Calibri"/>
                <w:color w:val="000000"/>
              </w:rPr>
              <w:t xml:space="preserve">Sub-total Residential </w:t>
            </w:r>
          </w:p>
        </w:tc>
        <w:tc>
          <w:tcPr>
            <w:tcW w:w="1700" w:type="dxa"/>
            <w:tcBorders>
              <w:top w:val="single" w:sz="8" w:space="0" w:color="auto"/>
              <w:left w:val="single" w:sz="12"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 xml:space="preserve"> n/a </w:t>
            </w:r>
          </w:p>
        </w:tc>
        <w:tc>
          <w:tcPr>
            <w:tcW w:w="1780" w:type="dxa"/>
            <w:tcBorders>
              <w:top w:val="single" w:sz="8" w:space="0" w:color="auto"/>
              <w:left w:val="nil"/>
              <w:bottom w:val="single" w:sz="8" w:space="0" w:color="auto"/>
              <w:right w:val="nil"/>
            </w:tcBorders>
            <w:shd w:val="clear" w:color="auto" w:fill="F2F2F2"/>
            <w:vAlign w:val="center"/>
            <w:hideMark/>
          </w:tcPr>
          <w:p w:rsidR="00606666" w:rsidRPr="009F4F2E" w:rsidRDefault="00606666" w:rsidP="00E85BB5">
            <w:pPr>
              <w:spacing w:after="0" w:line="240" w:lineRule="auto"/>
              <w:jc w:val="right"/>
              <w:rPr>
                <w:rFonts w:eastAsia="Times New Roman" w:cs="Calibri"/>
                <w:color w:val="000000"/>
              </w:rPr>
            </w:pPr>
            <w:r w:rsidRPr="009F4F2E">
              <w:rPr>
                <w:rFonts w:eastAsia="Times New Roman" w:cs="Calibri"/>
                <w:color w:val="000000"/>
              </w:rPr>
              <w:t>1,582.88</w:t>
            </w:r>
          </w:p>
        </w:tc>
        <w:tc>
          <w:tcPr>
            <w:tcW w:w="1380" w:type="dxa"/>
            <w:tcBorders>
              <w:top w:val="single" w:sz="8" w:space="0" w:color="auto"/>
              <w:left w:val="single" w:sz="4" w:space="0" w:color="auto"/>
              <w:bottom w:val="single" w:sz="8" w:space="0" w:color="auto"/>
              <w:right w:val="single" w:sz="4"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c>
          <w:tcPr>
            <w:tcW w:w="1520" w:type="dxa"/>
            <w:tcBorders>
              <w:top w:val="single" w:sz="8" w:space="0" w:color="auto"/>
              <w:left w:val="nil"/>
              <w:bottom w:val="single" w:sz="8" w:space="0" w:color="auto"/>
              <w:right w:val="single" w:sz="12" w:space="0" w:color="auto"/>
            </w:tcBorders>
            <w:shd w:val="clear" w:color="auto" w:fill="F2F2F2"/>
            <w:vAlign w:val="center"/>
            <w:hideMark/>
          </w:tcPr>
          <w:p w:rsidR="00606666" w:rsidRPr="009F4F2E" w:rsidRDefault="00606666" w:rsidP="00E85BB5">
            <w:pPr>
              <w:spacing w:after="0" w:line="240" w:lineRule="auto"/>
              <w:jc w:val="center"/>
              <w:rPr>
                <w:rFonts w:eastAsia="Times New Roman" w:cs="Calibri"/>
                <w:color w:val="000000"/>
              </w:rPr>
            </w:pPr>
            <w:r w:rsidRPr="009F4F2E">
              <w:rPr>
                <w:rFonts w:eastAsia="Times New Roman" w:cs="Calibri"/>
                <w:color w:val="000000"/>
              </w:rPr>
              <w:t>n/a</w:t>
            </w:r>
          </w:p>
        </w:tc>
      </w:tr>
      <w:tr w:rsidR="00606666" w:rsidRPr="009F4F2E" w:rsidTr="00E85BB5">
        <w:trPr>
          <w:trHeight w:val="300"/>
        </w:trPr>
        <w:tc>
          <w:tcPr>
            <w:tcW w:w="4220" w:type="dxa"/>
            <w:tcBorders>
              <w:top w:val="nil"/>
              <w:left w:val="single" w:sz="12" w:space="0" w:color="auto"/>
              <w:bottom w:val="single" w:sz="12" w:space="0" w:color="auto"/>
              <w:right w:val="nil"/>
            </w:tcBorders>
            <w:shd w:val="clear" w:color="auto" w:fill="D9D9D9"/>
            <w:noWrap/>
            <w:vAlign w:val="center"/>
            <w:hideMark/>
          </w:tcPr>
          <w:p w:rsidR="00606666" w:rsidRPr="009F4F2E" w:rsidRDefault="00606666" w:rsidP="00E85BB5">
            <w:pPr>
              <w:spacing w:after="0" w:line="240" w:lineRule="auto"/>
              <w:rPr>
                <w:rFonts w:eastAsia="Times New Roman" w:cs="Calibri"/>
                <w:b/>
                <w:bCs/>
                <w:color w:val="000000"/>
              </w:rPr>
            </w:pPr>
            <w:r w:rsidRPr="009F4F2E">
              <w:rPr>
                <w:rFonts w:eastAsia="Times New Roman" w:cs="Calibri"/>
                <w:b/>
                <w:bCs/>
                <w:color w:val="000000"/>
              </w:rPr>
              <w:t>Total, 2020 Measures</w:t>
            </w:r>
          </w:p>
        </w:tc>
        <w:tc>
          <w:tcPr>
            <w:tcW w:w="1700" w:type="dxa"/>
            <w:tcBorders>
              <w:top w:val="nil"/>
              <w:left w:val="single" w:sz="12"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n/a</w:t>
            </w:r>
          </w:p>
        </w:tc>
        <w:tc>
          <w:tcPr>
            <w:tcW w:w="1780" w:type="dxa"/>
            <w:tcBorders>
              <w:top w:val="nil"/>
              <w:left w:val="nil"/>
              <w:bottom w:val="single" w:sz="12" w:space="0" w:color="auto"/>
              <w:right w:val="nil"/>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eastAsia="Times New Roman" w:cs="Calibri"/>
                <w:b/>
                <w:bCs/>
                <w:color w:val="000000"/>
              </w:rPr>
              <w:t>6,629.50</w:t>
            </w:r>
          </w:p>
        </w:tc>
        <w:tc>
          <w:tcPr>
            <w:tcW w:w="1380" w:type="dxa"/>
            <w:tcBorders>
              <w:top w:val="nil"/>
              <w:left w:val="single" w:sz="4" w:space="0" w:color="auto"/>
              <w:bottom w:val="single" w:sz="12" w:space="0" w:color="auto"/>
              <w:right w:val="single" w:sz="4" w:space="0" w:color="auto"/>
            </w:tcBorders>
            <w:shd w:val="clear" w:color="auto" w:fill="D9D9D9"/>
            <w:vAlign w:val="center"/>
            <w:hideMark/>
          </w:tcPr>
          <w:p w:rsidR="00606666" w:rsidRPr="009F4F2E" w:rsidRDefault="00606666" w:rsidP="00E85BB5">
            <w:pPr>
              <w:spacing w:after="0" w:line="240" w:lineRule="auto"/>
              <w:jc w:val="center"/>
              <w:rPr>
                <w:rFonts w:eastAsia="Times New Roman" w:cs="Calibri"/>
                <w:b/>
                <w:bCs/>
                <w:color w:val="000000"/>
              </w:rPr>
            </w:pPr>
            <w:r w:rsidRPr="009F4F2E">
              <w:rPr>
                <w:rFonts w:eastAsia="Times New Roman" w:cs="Calibri"/>
                <w:b/>
                <w:bCs/>
                <w:color w:val="000000"/>
              </w:rPr>
              <w:t>n/a</w:t>
            </w:r>
          </w:p>
        </w:tc>
        <w:tc>
          <w:tcPr>
            <w:tcW w:w="1520" w:type="dxa"/>
            <w:tcBorders>
              <w:top w:val="nil"/>
              <w:left w:val="nil"/>
              <w:bottom w:val="single" w:sz="12" w:space="0" w:color="auto"/>
              <w:right w:val="single" w:sz="12" w:space="0" w:color="auto"/>
            </w:tcBorders>
            <w:shd w:val="clear" w:color="auto" w:fill="D9D9D9"/>
            <w:vAlign w:val="center"/>
            <w:hideMark/>
          </w:tcPr>
          <w:p w:rsidR="00606666" w:rsidRPr="009F4F2E" w:rsidRDefault="00606666" w:rsidP="00E85BB5">
            <w:pPr>
              <w:spacing w:after="0" w:line="240" w:lineRule="auto"/>
              <w:jc w:val="right"/>
              <w:rPr>
                <w:rFonts w:eastAsia="Times New Roman" w:cs="Calibri"/>
                <w:b/>
                <w:bCs/>
                <w:color w:val="000000"/>
              </w:rPr>
            </w:pPr>
            <w:r w:rsidRPr="009F4F2E">
              <w:rPr>
                <w:rFonts w:cs="Calibri"/>
                <w:b/>
              </w:rPr>
              <w:t>648.16</w:t>
            </w:r>
          </w:p>
        </w:tc>
      </w:tr>
    </w:tbl>
    <w:p w:rsidR="00606666" w:rsidRPr="009F4F2E" w:rsidRDefault="00606666" w:rsidP="00606666">
      <w:pPr>
        <w:rPr>
          <w:rFonts w:cs="Calibri"/>
        </w:rPr>
      </w:pPr>
      <w:r w:rsidRPr="009F4F2E">
        <w:rPr>
          <w:rFonts w:cs="Calibri"/>
          <w:sz w:val="20"/>
          <w:vertAlign w:val="superscript"/>
        </w:rPr>
        <w:t>a</w:t>
      </w:r>
      <w:r w:rsidRPr="009F4F2E">
        <w:rPr>
          <w:rFonts w:cs="Calibri"/>
          <w:sz w:val="20"/>
        </w:rPr>
        <w:t>See annual MWh savings sub-totals for C&amp;I and Residential on Bates 319 and 324. First year savings are divided in half.</w:t>
      </w:r>
      <w:r w:rsidRPr="009F4F2E">
        <w:rPr>
          <w:rFonts w:cs="Calibri"/>
          <w:sz w:val="20"/>
        </w:rPr>
        <w:br/>
      </w:r>
      <w:r w:rsidRPr="009F4F2E">
        <w:rPr>
          <w:rFonts w:cs="Calibri"/>
          <w:sz w:val="20"/>
          <w:vertAlign w:val="superscript"/>
        </w:rPr>
        <w:t>b</w:t>
      </w:r>
      <w:r w:rsidRPr="009F4F2E">
        <w:rPr>
          <w:rFonts w:cs="Calibri"/>
          <w:sz w:val="20"/>
        </w:rPr>
        <w:t>The kW savings values reflect monthly demand charge impacts. Annualized kW savings are derived by multiplying</w:t>
      </w:r>
      <w:r w:rsidR="00FB07A3">
        <w:rPr>
          <w:rFonts w:cs="Calibri"/>
          <w:sz w:val="20"/>
        </w:rPr>
        <w:t xml:space="preserve"> by 12.</w:t>
      </w:r>
      <w:r w:rsidRPr="009F4F2E">
        <w:rPr>
          <w:rFonts w:cs="Calibri"/>
          <w:sz w:val="20"/>
        </w:rPr>
        <w:t xml:space="preserve"> </w:t>
      </w:r>
    </w:p>
    <w:p w:rsidR="00606666" w:rsidRPr="00527EA7" w:rsidRDefault="00606666" w:rsidP="00606666">
      <w:pPr>
        <w:pStyle w:val="Heading2"/>
        <w:numPr>
          <w:ilvl w:val="0"/>
          <w:numId w:val="0"/>
        </w:numPr>
        <w:rPr>
          <w:rFonts w:ascii="Calibri" w:hAnsi="Calibri" w:cs="Calibri"/>
          <w:b/>
          <w:color w:val="000000"/>
        </w:rPr>
      </w:pPr>
      <w:r w:rsidRPr="00527EA7">
        <w:rPr>
          <w:rFonts w:ascii="Calibri" w:hAnsi="Calibri" w:cs="Calibri"/>
          <w:b/>
          <w:color w:val="000000"/>
        </w:rPr>
        <w:t>Appendix C: Example of Lighting Project Worksheet with kW Savings</w:t>
      </w:r>
    </w:p>
    <w:p w:rsidR="00606666" w:rsidRPr="009F4F2E" w:rsidRDefault="00A90B75" w:rsidP="00606666">
      <w:pPr>
        <w:rPr>
          <w:rFonts w:cs="Calibri"/>
          <w:sz w:val="28"/>
          <w:szCs w:val="28"/>
        </w:rPr>
      </w:pPr>
      <w:r>
        <w:rPr>
          <w:rFonts w:cs="Calibri"/>
          <w:noProof/>
        </w:rPr>
        <w:drawing>
          <wp:inline distT="0" distB="0" distL="0" distR="0">
            <wp:extent cx="5734050" cy="754380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7543800"/>
                    </a:xfrm>
                    <a:prstGeom prst="rect">
                      <a:avLst/>
                    </a:prstGeom>
                    <a:noFill/>
                    <a:ln>
                      <a:noFill/>
                    </a:ln>
                  </pic:spPr>
                </pic:pic>
              </a:graphicData>
            </a:graphic>
          </wp:inline>
        </w:drawing>
      </w:r>
    </w:p>
    <w:p w:rsidR="00606666" w:rsidRPr="009F4F2E" w:rsidRDefault="00A90B75" w:rsidP="00606666">
      <w:pPr>
        <w:rPr>
          <w:rFonts w:cs="Calibri"/>
          <w:sz w:val="28"/>
          <w:szCs w:val="28"/>
        </w:rPr>
      </w:pPr>
      <w:r>
        <w:rPr>
          <w:rFonts w:cs="Calibri"/>
          <w:noProof/>
        </w:rPr>
        <w:drawing>
          <wp:inline distT="0" distB="0" distL="0" distR="0">
            <wp:extent cx="6619875" cy="8220075"/>
            <wp:effectExtent l="0" t="0" r="9525" b="952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9875" cy="8220075"/>
                    </a:xfrm>
                    <a:prstGeom prst="rect">
                      <a:avLst/>
                    </a:prstGeom>
                    <a:noFill/>
                    <a:ln>
                      <a:noFill/>
                    </a:ln>
                  </pic:spPr>
                </pic:pic>
              </a:graphicData>
            </a:graphic>
          </wp:inline>
        </w:drawing>
      </w:r>
    </w:p>
    <w:p w:rsidR="00606666" w:rsidRPr="009F4F2E" w:rsidRDefault="00A90B75" w:rsidP="00606666">
      <w:pPr>
        <w:rPr>
          <w:rFonts w:cs="Calibri"/>
          <w:sz w:val="28"/>
          <w:szCs w:val="28"/>
        </w:rPr>
      </w:pPr>
      <w:r>
        <w:rPr>
          <w:rFonts w:cs="Calibri"/>
          <w:noProof/>
        </w:rPr>
        <w:drawing>
          <wp:inline distT="0" distB="0" distL="0" distR="0">
            <wp:extent cx="6534150" cy="8201025"/>
            <wp:effectExtent l="0" t="0" r="0" b="952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0" cy="8201025"/>
                    </a:xfrm>
                    <a:prstGeom prst="rect">
                      <a:avLst/>
                    </a:prstGeom>
                    <a:noFill/>
                    <a:ln>
                      <a:noFill/>
                    </a:ln>
                  </pic:spPr>
                </pic:pic>
              </a:graphicData>
            </a:graphic>
          </wp:inline>
        </w:drawing>
      </w:r>
    </w:p>
    <w:p w:rsidR="00606666" w:rsidRPr="009F4F2E" w:rsidRDefault="00606666" w:rsidP="00606666">
      <w:pPr>
        <w:rPr>
          <w:rFonts w:cs="Calibri"/>
          <w:sz w:val="28"/>
          <w:szCs w:val="28"/>
        </w:rPr>
      </w:pPr>
    </w:p>
    <w:p w:rsidR="00606666" w:rsidRPr="00527EA7" w:rsidRDefault="00606666" w:rsidP="00606666">
      <w:pPr>
        <w:pStyle w:val="Heading2"/>
        <w:numPr>
          <w:ilvl w:val="0"/>
          <w:numId w:val="0"/>
        </w:numPr>
        <w:rPr>
          <w:rFonts w:ascii="Calibri" w:hAnsi="Calibri" w:cs="Calibri"/>
          <w:b/>
          <w:color w:val="000000"/>
        </w:rPr>
      </w:pPr>
      <w:r w:rsidRPr="00527EA7">
        <w:rPr>
          <w:rFonts w:ascii="Calibri" w:hAnsi="Calibri" w:cs="Calibri"/>
          <w:b/>
          <w:color w:val="000000"/>
        </w:rPr>
        <w:t>Appendix D:  Sample LBR ADR calculations</w:t>
      </w:r>
    </w:p>
    <w:bookmarkStart w:id="13" w:name="_MON_1593581967"/>
    <w:bookmarkEnd w:id="13"/>
    <w:p w:rsidR="00606666" w:rsidRPr="009F4F2E" w:rsidRDefault="003E396D" w:rsidP="00606666">
      <w:pPr>
        <w:rPr>
          <w:rFonts w:cs="Calibri"/>
        </w:rPr>
      </w:pPr>
      <w:r w:rsidRPr="009F4F2E">
        <w:rPr>
          <w:rFonts w:cs="Calibri"/>
        </w:rPr>
        <w:object w:dxaOrig="1376" w:dyaOrig="899">
          <v:shape id="_x0000_i1028" type="#_x0000_t75" style="width:1in;height:42.75pt" o:ole="">
            <v:imagedata r:id="rId24" o:title=""/>
          </v:shape>
          <o:OLEObject Type="Embed" ProgID="Excel.Sheet.12" ShapeID="_x0000_i1028" DrawAspect="Icon" ObjectID="_1602497991" r:id="rId25"/>
        </w:object>
      </w:r>
      <w:bookmarkStart w:id="14" w:name="_MON_1593581981"/>
      <w:bookmarkEnd w:id="14"/>
      <w:r w:rsidR="000448D6" w:rsidRPr="009F4F2E">
        <w:rPr>
          <w:rFonts w:cs="Calibri"/>
        </w:rPr>
        <w:object w:dxaOrig="1440" w:dyaOrig="932">
          <v:shape id="_x0000_i1029" type="#_x0000_t75" style="width:74.25pt;height:47.25pt" o:ole="">
            <v:imagedata r:id="rId26" o:title=""/>
          </v:shape>
          <o:OLEObject Type="Embed" ProgID="Excel.Sheet.12" ShapeID="_x0000_i1029" DrawAspect="Icon" ObjectID="_1602497992" r:id="rId27"/>
        </w:object>
      </w:r>
      <w:r w:rsidR="00C929C1" w:rsidRPr="009F4F2E">
        <w:rPr>
          <w:rFonts w:cs="Calibri"/>
        </w:rPr>
        <w:object w:dxaOrig="1376" w:dyaOrig="899">
          <v:shape id="_x0000_i1030" type="#_x0000_t75" style="width:69pt;height:44.25pt" o:ole="">
            <v:imagedata r:id="rId28" o:title=""/>
          </v:shape>
          <o:OLEObject Type="Embed" ProgID="Acrobat.Document.2015" ShapeID="_x0000_i1030" DrawAspect="Icon" ObjectID="_1602497993" r:id="rId29"/>
        </w:object>
      </w:r>
    </w:p>
    <w:p w:rsidR="00606666" w:rsidRPr="009F4F2E" w:rsidRDefault="00606666" w:rsidP="00606666">
      <w:pPr>
        <w:rPr>
          <w:rFonts w:cs="Calibri"/>
        </w:rPr>
      </w:pPr>
    </w:p>
    <w:p w:rsidR="00BE2C23" w:rsidRPr="009F4F2E" w:rsidRDefault="00BE2C23" w:rsidP="00606666">
      <w:pPr>
        <w:pStyle w:val="Heading2"/>
        <w:numPr>
          <w:ilvl w:val="0"/>
          <w:numId w:val="0"/>
        </w:numPr>
        <w:rPr>
          <w:rFonts w:ascii="Calibri" w:hAnsi="Calibri" w:cs="Calibri"/>
          <w:color w:val="000000"/>
        </w:rPr>
      </w:pPr>
    </w:p>
    <w:p w:rsidR="00606666" w:rsidRPr="00527EA7" w:rsidRDefault="00606666" w:rsidP="00606666">
      <w:pPr>
        <w:pStyle w:val="Heading2"/>
        <w:numPr>
          <w:ilvl w:val="0"/>
          <w:numId w:val="0"/>
        </w:numPr>
        <w:rPr>
          <w:rFonts w:ascii="Calibri" w:hAnsi="Calibri" w:cs="Calibri"/>
          <w:b/>
          <w:color w:val="000000"/>
        </w:rPr>
      </w:pPr>
      <w:r w:rsidRPr="00527EA7">
        <w:rPr>
          <w:rFonts w:ascii="Calibri" w:hAnsi="Calibri" w:cs="Calibri"/>
          <w:b/>
          <w:color w:val="000000"/>
        </w:rPr>
        <w:t>Appendix E:  Ratchet Support Analyses</w:t>
      </w:r>
    </w:p>
    <w:p w:rsidR="00606666" w:rsidRPr="009F4F2E" w:rsidRDefault="00975ED5" w:rsidP="00606666">
      <w:pPr>
        <w:rPr>
          <w:rFonts w:cs="Calibri"/>
        </w:rPr>
      </w:pPr>
      <w:r w:rsidRPr="009F4F2E">
        <w:rPr>
          <w:rFonts w:cs="Calibri"/>
        </w:rPr>
        <w:object w:dxaOrig="1440" w:dyaOrig="932">
          <v:shape id="_x0000_i1031" type="#_x0000_t75" style="width:74.25pt;height:47.25pt" o:ole="">
            <v:imagedata r:id="rId30" o:title=""/>
          </v:shape>
          <o:OLEObject Type="Embed" ProgID="Acrobat.Document.2015" ShapeID="_x0000_i1031" DrawAspect="Icon" ObjectID="_1602497994" r:id="rId31"/>
        </w:object>
      </w:r>
      <w:r w:rsidR="001E3883" w:rsidRPr="009F4F2E">
        <w:rPr>
          <w:rFonts w:cs="Calibri"/>
        </w:rPr>
        <w:object w:dxaOrig="1440" w:dyaOrig="932">
          <v:shape id="_x0000_i1032" type="#_x0000_t75" style="width:74.25pt;height:47.25pt" o:ole="">
            <v:imagedata r:id="rId32" o:title=""/>
          </v:shape>
          <o:OLEObject Type="Embed" ProgID="Acrobat.Document.2015" ShapeID="_x0000_i1032" DrawAspect="Icon" ObjectID="_1602497995" r:id="rId33"/>
        </w:object>
      </w:r>
      <w:bookmarkStart w:id="15" w:name="_MON_1593582107"/>
      <w:bookmarkEnd w:id="15"/>
      <w:r w:rsidR="001E3883" w:rsidRPr="009F4F2E">
        <w:rPr>
          <w:rFonts w:cs="Calibri"/>
        </w:rPr>
        <w:object w:dxaOrig="1376" w:dyaOrig="899">
          <v:shape id="_x0000_i1033" type="#_x0000_t75" style="width:69pt;height:44.25pt" o:ole="">
            <v:imagedata r:id="rId34" o:title=""/>
          </v:shape>
          <o:OLEObject Type="Embed" ProgID="Excel.Sheet.12" ShapeID="_x0000_i1033" DrawAspect="Icon" ObjectID="_1602497996" r:id="rId35"/>
        </w:object>
      </w: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p>
    <w:p w:rsidR="00606666" w:rsidRPr="009F4F2E" w:rsidRDefault="00606666" w:rsidP="00606666">
      <w:pPr>
        <w:pStyle w:val="Heading2"/>
        <w:numPr>
          <w:ilvl w:val="0"/>
          <w:numId w:val="0"/>
        </w:numPr>
        <w:rPr>
          <w:rFonts w:ascii="Calibri" w:hAnsi="Calibri" w:cs="Calibri"/>
          <w:color w:val="000000"/>
        </w:rPr>
      </w:pPr>
    </w:p>
    <w:p w:rsidR="00606666" w:rsidRPr="00527EA7" w:rsidRDefault="00606666" w:rsidP="00606666">
      <w:pPr>
        <w:pStyle w:val="Heading2"/>
        <w:numPr>
          <w:ilvl w:val="0"/>
          <w:numId w:val="0"/>
        </w:numPr>
        <w:rPr>
          <w:rFonts w:ascii="Calibri" w:hAnsi="Calibri" w:cs="Calibri"/>
          <w:b/>
          <w:color w:val="000000"/>
        </w:rPr>
      </w:pPr>
      <w:r w:rsidRPr="00527EA7">
        <w:rPr>
          <w:rFonts w:ascii="Calibri" w:hAnsi="Calibri" w:cs="Calibri"/>
          <w:b/>
          <w:color w:val="000000"/>
        </w:rPr>
        <w:t>Appendix F:  Eversource Analysis, Rate GV Peak Hour and DNV-GL operating %’s</w:t>
      </w:r>
    </w:p>
    <w:p w:rsidR="00606666" w:rsidRPr="00527EA7" w:rsidRDefault="00606666" w:rsidP="00606666">
      <w:pPr>
        <w:rPr>
          <w:rFonts w:cs="Calibri"/>
          <w:b/>
        </w:rPr>
      </w:pPr>
    </w:p>
    <w:p w:rsidR="00BE2C23" w:rsidRPr="009F4F2E" w:rsidRDefault="00606666" w:rsidP="00606666">
      <w:pPr>
        <w:rPr>
          <w:rFonts w:cs="Calibri"/>
        </w:rPr>
      </w:pPr>
      <w:r w:rsidRPr="009F4F2E">
        <w:rPr>
          <w:rFonts w:cs="Calibri"/>
        </w:rPr>
        <w:t>Link to Eversource Rate GV Peak Hour</w:t>
      </w:r>
    </w:p>
    <w:p w:rsidR="00606666" w:rsidRPr="009F4F2E" w:rsidRDefault="00BF1DB5" w:rsidP="00606666">
      <w:pPr>
        <w:rPr>
          <w:rFonts w:cs="Calibri"/>
          <w:sz w:val="20"/>
        </w:rPr>
      </w:pPr>
      <w:hyperlink r:id="rId36" w:history="1">
        <w:r w:rsidR="00606666" w:rsidRPr="009F4F2E">
          <w:rPr>
            <w:rStyle w:val="Hyperlink"/>
            <w:rFonts w:cs="Calibri"/>
            <w:sz w:val="20"/>
          </w:rPr>
          <w:t>https://www.eversource.com/content/nh/about/about-us/doing-business-with-us/energy-supplier-information/electric---new-Hampshire</w:t>
        </w:r>
      </w:hyperlink>
      <w:r w:rsidR="00606666" w:rsidRPr="009F4F2E">
        <w:rPr>
          <w:rFonts w:cs="Calibri"/>
          <w:sz w:val="20"/>
        </w:rPr>
        <w:t>.</w:t>
      </w:r>
    </w:p>
    <w:p w:rsidR="00606666" w:rsidRPr="009F4F2E" w:rsidRDefault="00606666" w:rsidP="00606666">
      <w:pPr>
        <w:rPr>
          <w:rFonts w:cs="Calibri"/>
        </w:rPr>
      </w:pPr>
      <w:r w:rsidRPr="009F4F2E">
        <w:rPr>
          <w:rFonts w:cs="Calibri"/>
        </w:rPr>
        <w:t xml:space="preserve">Link to DNV-GL </w:t>
      </w:r>
      <w:r w:rsidR="00975ED5">
        <w:rPr>
          <w:rFonts w:cs="Calibri"/>
        </w:rPr>
        <w:t>Report, September 2015</w:t>
      </w:r>
    </w:p>
    <w:p w:rsidR="00606666" w:rsidRPr="009F4F2E" w:rsidRDefault="00BF1DB5" w:rsidP="00606666">
      <w:pPr>
        <w:rPr>
          <w:rFonts w:cs="Calibri"/>
        </w:rPr>
      </w:pPr>
      <w:hyperlink r:id="rId37" w:history="1">
        <w:r w:rsidR="00606666" w:rsidRPr="009F4F2E">
          <w:rPr>
            <w:rStyle w:val="Hyperlink"/>
            <w:rFonts w:cs="Calibri"/>
            <w:sz w:val="20"/>
          </w:rPr>
          <w:t>http://www.puc.state.nh.us/Electric/Monitoring%20and%20Evaluation%20Reports/New%20Hampshire%20Large%20C&amp;I%20Program%20Impact%20Study%20Final%20Report.pdf</w:t>
        </w:r>
      </w:hyperlink>
    </w:p>
    <w:p w:rsidR="00606666" w:rsidRPr="009F4F2E" w:rsidRDefault="00606666" w:rsidP="00606666">
      <w:pPr>
        <w:rPr>
          <w:rFonts w:cs="Calibri"/>
        </w:rPr>
      </w:pPr>
    </w:p>
    <w:p w:rsidR="00606666" w:rsidRPr="009F4F2E" w:rsidRDefault="00606666" w:rsidP="00606666">
      <w:pPr>
        <w:rPr>
          <w:rFonts w:cs="Calibri"/>
        </w:rPr>
      </w:pPr>
    </w:p>
    <w:p w:rsidR="001E3883" w:rsidRDefault="00606666" w:rsidP="00606666">
      <w:pPr>
        <w:rPr>
          <w:rFonts w:cs="Calibri"/>
        </w:rPr>
      </w:pPr>
      <w:r w:rsidRPr="009F4F2E">
        <w:rPr>
          <w:rFonts w:cs="Calibri"/>
        </w:rPr>
        <w:t xml:space="preserve">Appendix G:  Link to OCA and Resource Insight, Inc. Comments </w:t>
      </w:r>
    </w:p>
    <w:p w:rsidR="00606666" w:rsidRPr="009F4F2E" w:rsidRDefault="00606666" w:rsidP="00606666">
      <w:pPr>
        <w:rPr>
          <w:rFonts w:cs="Calibri"/>
        </w:rPr>
      </w:pPr>
      <w:r w:rsidRPr="009F4F2E">
        <w:rPr>
          <w:rFonts w:cs="Calibri"/>
        </w:rPr>
        <w:t xml:space="preserve"> </w:t>
      </w:r>
      <w:bookmarkStart w:id="16" w:name="_GoBack"/>
      <w:r w:rsidR="00423BF7">
        <w:object w:dxaOrig="1708" w:dyaOrig="1105">
          <v:shape id="_x0000_i1037" type="#_x0000_t75" style="width:85.5pt;height:54.75pt" o:ole="">
            <v:imagedata r:id="rId38" o:title=""/>
          </v:shape>
          <o:OLEObject Type="Embed" ProgID="Acrobat.Document.2015" ShapeID="_x0000_i1037" DrawAspect="Icon" ObjectID="_1602497997" r:id="rId39"/>
        </w:object>
      </w:r>
      <w:bookmarkEnd w:id="16"/>
    </w:p>
    <w:p w:rsidR="002C2EA0" w:rsidRDefault="002C2EA0" w:rsidP="00606666">
      <w:pPr>
        <w:pStyle w:val="Heading2"/>
        <w:numPr>
          <w:ilvl w:val="0"/>
          <w:numId w:val="0"/>
        </w:numPr>
        <w:rPr>
          <w:rFonts w:ascii="Calibri" w:hAnsi="Calibri"/>
          <w:lang w:val="en-US"/>
        </w:rPr>
      </w:pPr>
    </w:p>
    <w:p w:rsidR="003C3478" w:rsidRDefault="003C3478" w:rsidP="00D65105">
      <w:pPr>
        <w:rPr>
          <w:lang w:eastAsia="x-none"/>
        </w:rPr>
      </w:pPr>
      <w:r>
        <w:rPr>
          <w:lang w:eastAsia="x-none"/>
        </w:rPr>
        <w:t>Appendix H:  Utility Comments</w:t>
      </w:r>
    </w:p>
    <w:p w:rsidR="003C3478" w:rsidRPr="00D65105" w:rsidRDefault="003C3478" w:rsidP="00D65105">
      <w:pPr>
        <w:rPr>
          <w:lang w:eastAsia="x-none"/>
        </w:rPr>
      </w:pPr>
      <w:r>
        <w:object w:dxaOrig="1539" w:dyaOrig="995">
          <v:shape id="_x0000_i1035" type="#_x0000_t75" style="width:77.25pt;height:49.5pt" o:ole="">
            <v:imagedata r:id="rId40" o:title=""/>
          </v:shape>
          <o:OLEObject Type="Embed" ProgID="Acrobat.Document.2015" ShapeID="_x0000_i1035" DrawAspect="Icon" ObjectID="_1602497998" r:id="rId41"/>
        </w:object>
      </w:r>
    </w:p>
    <w:sectPr w:rsidR="003C3478" w:rsidRPr="00D65105" w:rsidSect="002A08B0">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939" w:rsidRDefault="00064939" w:rsidP="00475690">
      <w:pPr>
        <w:spacing w:after="0" w:line="240" w:lineRule="auto"/>
      </w:pPr>
      <w:r>
        <w:separator/>
      </w:r>
    </w:p>
  </w:endnote>
  <w:endnote w:type="continuationSeparator" w:id="0">
    <w:p w:rsidR="00064939" w:rsidRDefault="00064939" w:rsidP="00475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BAA" w:rsidRDefault="00704BAA" w:rsidP="002A08B0">
    <w:pPr>
      <w:pStyle w:val="Footer"/>
      <w:jc w:val="center"/>
    </w:pPr>
    <w:r>
      <w:fldChar w:fldCharType="begin"/>
    </w:r>
    <w:r>
      <w:instrText xml:space="preserve"> PAGE   \* MERGEFORMAT </w:instrText>
    </w:r>
    <w:r>
      <w:fldChar w:fldCharType="separate"/>
    </w:r>
    <w:r w:rsidR="00BF1DB5">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939" w:rsidRDefault="00064939" w:rsidP="00475690">
      <w:pPr>
        <w:spacing w:after="0" w:line="240" w:lineRule="auto"/>
      </w:pPr>
      <w:r>
        <w:separator/>
      </w:r>
    </w:p>
  </w:footnote>
  <w:footnote w:type="continuationSeparator" w:id="0">
    <w:p w:rsidR="00064939" w:rsidRDefault="00064939" w:rsidP="00475690">
      <w:pPr>
        <w:spacing w:after="0" w:line="240" w:lineRule="auto"/>
      </w:pPr>
      <w:r>
        <w:continuationSeparator/>
      </w:r>
    </w:p>
  </w:footnote>
  <w:footnote w:id="1">
    <w:p w:rsidR="00704BAA" w:rsidRDefault="00704BAA" w:rsidP="007C5B4A">
      <w:pPr>
        <w:pStyle w:val="FootnoteText"/>
      </w:pPr>
      <w:r>
        <w:rPr>
          <w:rStyle w:val="FootnoteReference"/>
        </w:rPr>
        <w:footnoteRef/>
      </w:r>
      <w:r>
        <w:t xml:space="preserve">Savings values in Tables 1 – 3 are based on </w:t>
      </w:r>
      <w:r w:rsidRPr="004E344F">
        <w:t xml:space="preserve">planned measure quantities and savings </w:t>
      </w:r>
      <w:r>
        <w:t xml:space="preserve">from </w:t>
      </w:r>
      <w:r w:rsidRPr="004E344F">
        <w:t xml:space="preserve">the 2018-2020 </w:t>
      </w:r>
      <w:r w:rsidR="00817897">
        <w:t>P</w:t>
      </w:r>
      <w:r>
        <w:t xml:space="preserve">lan. Planned measure quantities and savings </w:t>
      </w:r>
      <w:r w:rsidRPr="004E344F">
        <w:t xml:space="preserve">will </w:t>
      </w:r>
      <w:r>
        <w:t xml:space="preserve">be updated in </w:t>
      </w:r>
      <w:r w:rsidRPr="004E344F">
        <w:t xml:space="preserve">the 2019 and 2020 </w:t>
      </w:r>
      <w:r>
        <w:t>plan updates.</w:t>
      </w:r>
    </w:p>
  </w:footnote>
  <w:footnote w:id="2">
    <w:p w:rsidR="00704BAA" w:rsidRDefault="00704BAA" w:rsidP="00466D19">
      <w:pPr>
        <w:pStyle w:val="FootnoteText"/>
      </w:pPr>
      <w:r>
        <w:rPr>
          <w:rStyle w:val="FootnoteReference"/>
        </w:rPr>
        <w:footnoteRef/>
      </w:r>
      <w:r>
        <w:t xml:space="preserve"> Source:  Commission Website, Core Programs, </w:t>
      </w:r>
      <w:hyperlink r:id="rId1" w:history="1">
        <w:r w:rsidRPr="00E168F5">
          <w:rPr>
            <w:rStyle w:val="Hyperlink"/>
          </w:rPr>
          <w:t>Monitoring &amp; Evaluation Reports</w:t>
        </w:r>
      </w:hyperlink>
      <w:r>
        <w:t xml:space="preserve">. </w:t>
      </w:r>
    </w:p>
  </w:footnote>
  <w:footnote w:id="3">
    <w:p w:rsidR="00704BAA" w:rsidRPr="00853BD7" w:rsidRDefault="00704BAA" w:rsidP="00466D19">
      <w:pPr>
        <w:pStyle w:val="FootnoteText"/>
      </w:pPr>
      <w:r>
        <w:rPr>
          <w:rStyle w:val="FootnoteReference"/>
        </w:rPr>
        <w:footnoteRef/>
      </w:r>
      <w:r>
        <w:t xml:space="preserve"> Source:  Eversource analysis of Rate GV peak hours and DNV-GL peak load by end use </w:t>
      </w:r>
      <w:r w:rsidRPr="00853BD7">
        <w:t xml:space="preserve">(ref. </w:t>
      </w:r>
      <w:r w:rsidR="00C53CE2">
        <w:rPr>
          <w:lang w:val="en-US"/>
        </w:rPr>
        <w:t>Appendix F)</w:t>
      </w:r>
      <w:r w:rsidRPr="00853BD7">
        <w:t>.</w:t>
      </w:r>
    </w:p>
  </w:footnote>
  <w:footnote w:id="4">
    <w:p w:rsidR="00704BAA" w:rsidRDefault="00704BAA" w:rsidP="00466D19">
      <w:pPr>
        <w:pStyle w:val="FootnoteText"/>
      </w:pPr>
      <w:r>
        <w:rPr>
          <w:rStyle w:val="FootnoteReference"/>
        </w:rPr>
        <w:footnoteRef/>
      </w:r>
      <w:r>
        <w:t xml:space="preserve"> Source:  Eversource Supply Curves showing peak demand for Rate GV </w:t>
      </w:r>
      <w:r w:rsidRPr="002E5DFD">
        <w:t>customers.  (</w:t>
      </w:r>
      <w:r w:rsidR="00853BD7" w:rsidRPr="002E5DFD">
        <w:t xml:space="preserve">ref. </w:t>
      </w:r>
      <w:r w:rsidR="00C53CE2">
        <w:rPr>
          <w:lang w:val="en-US"/>
        </w:rPr>
        <w:t>A</w:t>
      </w:r>
      <w:r w:rsidR="00853BD7" w:rsidRPr="002E5DFD">
        <w:t>ppendix F)</w:t>
      </w:r>
      <w:r w:rsidRPr="002E5DFD">
        <w:t>.</w:t>
      </w:r>
    </w:p>
  </w:footnote>
  <w:footnote w:id="5">
    <w:p w:rsidR="00704BAA" w:rsidRDefault="00704BAA" w:rsidP="00466D19">
      <w:pPr>
        <w:pStyle w:val="FootnoteText"/>
      </w:pPr>
      <w:r>
        <w:rPr>
          <w:rStyle w:val="FootnoteReference"/>
        </w:rPr>
        <w:footnoteRef/>
      </w:r>
      <w:r>
        <w:t xml:space="preserve"> According to “</w:t>
      </w:r>
      <w:hyperlink r:id="rId2" w:history="1">
        <w:r w:rsidRPr="00912317">
          <w:rPr>
            <w:rStyle w:val="Hyperlink"/>
          </w:rPr>
          <w:t>NEEP, Glossary of Terms</w:t>
        </w:r>
      </w:hyperlink>
      <w:r>
        <w:t>”, a free-rider is a program participant who would have implemented the program measure or practice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completely replicated the program measure, but at a future time than the program’s timeframe.</w:t>
      </w:r>
    </w:p>
    <w:p w:rsidR="00704BAA" w:rsidRDefault="00704BAA" w:rsidP="00466D19">
      <w:pPr>
        <w:pStyle w:val="FootnoteText"/>
      </w:pPr>
    </w:p>
    <w:p w:rsidR="00704BAA" w:rsidRDefault="00704BAA" w:rsidP="00466D19">
      <w:pPr>
        <w:pStyle w:val="FootnoteText"/>
      </w:pPr>
      <w:r>
        <w:t>According to NEEP’s Glossary of Terms, Spillover is the reductions in energy consumption and/or demand caused by the presence of an energy efficiency program, beyond the program-related gross savings of the participants and without financial or technical assistance from the program. There can be participant and/or non-participant spillover. Participant spillover is the additional energy savings that occur when a program participant independently installs energy efficiency measures or applies energy saving practices after having participated in the efficiency program as a result of the program’s influence. Non-participant spillover refers to energy savings that occur when a program nonparticipant installs energy efficiency measures or applies energy savings practices as a result as a result of a program’s influence.</w:t>
      </w:r>
    </w:p>
  </w:footnote>
  <w:footnote w:id="6">
    <w:p w:rsidR="00704BAA" w:rsidRDefault="00704BAA" w:rsidP="00466D19">
      <w:pPr>
        <w:pStyle w:val="FootnoteText"/>
      </w:pPr>
      <w:r>
        <w:rPr>
          <w:rStyle w:val="FootnoteReference"/>
        </w:rPr>
        <w:footnoteRef/>
      </w:r>
      <w:r>
        <w:t xml:space="preserve"> Source:  </w:t>
      </w:r>
      <w:hyperlink r:id="rId3" w:history="1">
        <w:r w:rsidRPr="00BF2308">
          <w:rPr>
            <w:rStyle w:val="Hyperlink"/>
          </w:rPr>
          <w:t>DNV-GL Study</w:t>
        </w:r>
      </w:hyperlink>
      <w:r>
        <w:t>, September 2015, p. 68.</w:t>
      </w:r>
    </w:p>
  </w:footnote>
  <w:footnote w:id="7">
    <w:p w:rsidR="00704BAA" w:rsidRDefault="00704BAA" w:rsidP="00466D19">
      <w:pPr>
        <w:pStyle w:val="FootnoteText"/>
      </w:pPr>
      <w:r>
        <w:rPr>
          <w:rStyle w:val="FootnoteReference"/>
        </w:rPr>
        <w:footnoteRef/>
      </w:r>
      <w:r>
        <w:t xml:space="preserve"> According to NEEP, The term is used in several contexts in the development of reported program savings. The primary applications include the ratio of project tracking system savings data (e.g. initial estimates of project savings) to savings: 1) adjusted for data errors, 2) that incorporate evaluated or verified results of the tracked savings, and 3) that account for free ridership and/or spillover.</w:t>
      </w:r>
    </w:p>
  </w:footnote>
  <w:footnote w:id="8">
    <w:p w:rsidR="00704BAA" w:rsidRDefault="00704BAA" w:rsidP="00466D19">
      <w:pPr>
        <w:pStyle w:val="FootnoteText"/>
      </w:pPr>
      <w:r>
        <w:rPr>
          <w:rStyle w:val="FootnoteReference"/>
        </w:rPr>
        <w:footnoteRef/>
      </w:r>
      <w:r>
        <w:t xml:space="preserve"> According to Eversource analysis, the ratchet option was </w:t>
      </w:r>
      <w:r w:rsidRPr="00D65105">
        <w:t>immaterial</w:t>
      </w:r>
      <w:r>
        <w:t>.  In the sensitivity</w:t>
      </w:r>
      <w:r w:rsidR="00B00F80">
        <w:rPr>
          <w:lang w:val="en-US"/>
        </w:rPr>
        <w:t xml:space="preserve"> analysis</w:t>
      </w:r>
      <w:r>
        <w:t>, the percentage of total demand billing that represented ratchet demand billing was 0.</w:t>
      </w:r>
      <w:r w:rsidR="00B00F80">
        <w:rPr>
          <w:lang w:val="en-US"/>
        </w:rPr>
        <w:t>4</w:t>
      </w:r>
      <w:r>
        <w:t>%.</w:t>
      </w:r>
      <w:r w:rsidR="00B00F80">
        <w:rPr>
          <w:lang w:val="en-US"/>
        </w:rPr>
        <w:t xml:space="preserve">  For customers with a ratchet that potentially could have implemented EE or other non-EE changes at facility or temperature sensitive load changes, the maximum possible impact from EE on Eversource’s billing demand from ratchets for this time frame would be 0.002%.</w:t>
      </w:r>
      <w:r>
        <w:t xml:space="preserve">  </w:t>
      </w:r>
      <w:hyperlink r:id="rId4" w:history="1">
        <w:r w:rsidRPr="00335178">
          <w:rPr>
            <w:rStyle w:val="Hyperlink"/>
          </w:rPr>
          <w:t>http://www.puc.state.nh.us/EESE%20Board/EERS_WG/061318_wg_eversource_ratchet_analysis.pdf</w:t>
        </w:r>
      </w:hyperlink>
    </w:p>
    <w:p w:rsidR="00704BAA" w:rsidRDefault="00704BAA" w:rsidP="00466D19">
      <w:pPr>
        <w:pStyle w:val="FootnoteText"/>
      </w:pPr>
      <w:r w:rsidRPr="00536875">
        <w:t xml:space="preserve"> </w:t>
      </w:r>
    </w:p>
    <w:p w:rsidR="00704BAA" w:rsidRDefault="00704BAA" w:rsidP="00466D19">
      <w:pPr>
        <w:pStyle w:val="FootnoteText"/>
      </w:pPr>
      <w:r>
        <w:t>According to the Unitil’s analysis,</w:t>
      </w:r>
      <w:r w:rsidR="00EF64E0">
        <w:rPr>
          <w:lang w:val="en-US"/>
        </w:rPr>
        <w:t xml:space="preserve"> Unitil concluded that the impact of the ratchet was </w:t>
      </w:r>
      <w:r w:rsidR="00EF64E0" w:rsidRPr="00EF64E0">
        <w:rPr>
          <w:lang w:val="en-US"/>
        </w:rPr>
        <w:t>small in percentage terms</w:t>
      </w:r>
      <w:r w:rsidR="00EF64E0">
        <w:rPr>
          <w:lang w:val="en-US"/>
        </w:rPr>
        <w:t xml:space="preserve"> and, as agreed to in the settlement establishing this working group, it is not feasible to identify the impacts with precision and not feasible to track demand charge impacts on a customer by customer basis.</w:t>
      </w:r>
      <w:r>
        <w:t xml:space="preserve">  </w:t>
      </w:r>
      <w:hyperlink r:id="rId5" w:history="1">
        <w:r w:rsidRPr="00335178">
          <w:rPr>
            <w:rStyle w:val="Hyperlink"/>
          </w:rPr>
          <w:t>http://www.puc.state.nh.us/EESE%20Board/EERS_WG/061318_unitil_ratchet_analysis.pdf</w:t>
        </w:r>
      </w:hyperlink>
    </w:p>
    <w:p w:rsidR="00704BAA" w:rsidRDefault="00704BAA" w:rsidP="00466D19">
      <w:pPr>
        <w:pStyle w:val="FootnoteText"/>
      </w:pPr>
      <w:r w:rsidRPr="00536875">
        <w:t xml:space="preserve"> </w:t>
      </w:r>
    </w:p>
    <w:p w:rsidR="00704BAA" w:rsidRDefault="00704BAA" w:rsidP="00466D19">
      <w:pPr>
        <w:pStyle w:val="FootnoteText"/>
      </w:pPr>
      <w:r>
        <w:t xml:space="preserve">According to Liberty’s analysis, the ratchet option is </w:t>
      </w:r>
      <w:r w:rsidRPr="00D65105">
        <w:t>inconclusive</w:t>
      </w:r>
      <w:r>
        <w:t xml:space="preserve"> – 3 out of 8 who received EE savings and incurred a ratchet after the installation; but, the ratchet was less than the demand savings; thus, the measures installed may have actually reduced the ratchet the customer could have incurred without the measures being installed (</w:t>
      </w:r>
      <w:r w:rsidRPr="002E5DFD">
        <w:t xml:space="preserve">Ref.LBR Report at </w:t>
      </w:r>
      <w:r w:rsidR="00EB454E" w:rsidRPr="002E5DFD">
        <w:t>section VI</w:t>
      </w:r>
      <w:r w:rsidRPr="002E5DFD">
        <w:t>)</w:t>
      </w:r>
      <w:r>
        <w:t xml:space="preserve">     </w:t>
      </w:r>
    </w:p>
  </w:footnote>
  <w:footnote w:id="9">
    <w:p w:rsidR="00EB454E" w:rsidRPr="00E24C26" w:rsidRDefault="00EB454E" w:rsidP="00EB454E">
      <w:pPr>
        <w:pStyle w:val="FootnoteText"/>
      </w:pPr>
      <w:r w:rsidRPr="00E24C26">
        <w:rPr>
          <w:rStyle w:val="FootnoteReference"/>
        </w:rPr>
        <w:footnoteRef/>
      </w:r>
      <w:r w:rsidRPr="00E24C26">
        <w:t>Per Order No. 26,095 approving the Settlement Agreement, the LBR Working Group was established  to determine the kW values to be used in LBR calculations</w:t>
      </w:r>
      <w:r>
        <w:t xml:space="preserve"> in the C&amp;I sector, not kWh values </w:t>
      </w:r>
    </w:p>
    <w:p w:rsidR="00EB454E" w:rsidRPr="00E24C26" w:rsidRDefault="00EB454E" w:rsidP="00EB454E">
      <w:pPr>
        <w:pStyle w:val="FootnoteText"/>
      </w:pPr>
    </w:p>
  </w:footnote>
  <w:footnote w:id="10">
    <w:p w:rsidR="00EB454E" w:rsidRPr="00E24C26" w:rsidRDefault="00EB454E" w:rsidP="00EB454E">
      <w:pPr>
        <w:spacing w:line="240" w:lineRule="auto"/>
      </w:pPr>
      <w:r w:rsidRPr="00E24C26">
        <w:rPr>
          <w:rStyle w:val="FootnoteReference"/>
        </w:rPr>
        <w:footnoteRef/>
      </w:r>
      <w:r w:rsidRPr="00E24C26">
        <w:rPr>
          <w:sz w:val="20"/>
          <w:szCs w:val="20"/>
        </w:rPr>
        <w:t xml:space="preserve">For example, in 2017, Eversource’s small business projects were installed 67 days prior to their paid date, on average, and Eversource’s large business projects were inspected 59 days prior to their paid date, on average. </w:t>
      </w:r>
    </w:p>
  </w:footnote>
  <w:footnote w:id="11">
    <w:p w:rsidR="00EB454E" w:rsidRPr="00E24C26" w:rsidRDefault="00EB454E" w:rsidP="00EB454E">
      <w:pPr>
        <w:spacing w:line="240" w:lineRule="auto"/>
      </w:pPr>
      <w:r w:rsidRPr="00E24C26">
        <w:rPr>
          <w:rStyle w:val="FootnoteReference"/>
        </w:rPr>
        <w:footnoteRef/>
      </w:r>
      <w:r w:rsidRPr="00E24C26">
        <w:rPr>
          <w:sz w:val="20"/>
          <w:szCs w:val="20"/>
        </w:rPr>
        <w:t xml:space="preserve">For example, in 2017, Eversource’s small business projects were installed 67 days prior to their paid date, on average, and Eversource’s large business projects were inspected 59 days prior to their paid date, on average. </w:t>
      </w:r>
    </w:p>
  </w:footnote>
  <w:footnote w:id="12">
    <w:p w:rsidR="00EB454E" w:rsidRPr="00E24C26" w:rsidRDefault="00EB454E" w:rsidP="00EB454E">
      <w:pPr>
        <w:pStyle w:val="FootnoteText"/>
      </w:pPr>
      <w:r w:rsidRPr="00E24C26">
        <w:rPr>
          <w:rStyle w:val="FootnoteReference"/>
        </w:rPr>
        <w:footnoteRef/>
      </w:r>
      <w:r w:rsidRPr="00E24C26">
        <w:t>MDF values are derived for each measure type within each program</w:t>
      </w:r>
      <w:r>
        <w:t xml:space="preserve">. Eversource’s MDF values are derived </w:t>
      </w:r>
      <w:r w:rsidRPr="00E24C26">
        <w:t xml:space="preserve">by dividing the sum of the maximum demand (kW) savings for the prior year’s installations of the given measure type and program, by the sum of the annual kWh savings for those installations. For instance, 2016 Large C&amp;I New Construction cooling measures had total annual kWh savings of 443,563 kWh, and total maximum demand savings of 270.1 kW. The MDF used for planning for 2017 Large C&amp;I New Construction cooling measures is 270.1 / 443,563 = .000608933. This ratio is used for planning purposes to determine the expected total maximum demand savings for a given measure type and program, based on the planned annual kWh savings for that measure type and program. </w:t>
      </w:r>
      <w:r>
        <w:t xml:space="preserve">For Unitil and Liberty, MDF values are based on longer-term historical data on kW and kWh of various end uses. This is because they have a relatively small number of projects each year, which means the kW and kWh values for one prior year may vary more significantly and are therefore not as reliable for planning forecasts. Also </w:t>
      </w:r>
      <w:r w:rsidRPr="00E24C26">
        <w:t xml:space="preserve">see </w:t>
      </w:r>
      <w:hyperlink r:id="rId6" w:history="1">
        <w:r w:rsidRPr="00E24C26">
          <w:rPr>
            <w:rStyle w:val="Hyperlink"/>
          </w:rPr>
          <w:t>https://www.puc.nh.gov/EESE%20Board/EERS_WG/3_15_2018_worksheet_in_utilities_lbr_homework.xls</w:t>
        </w:r>
      </w:hyperlink>
      <w:r w:rsidRPr="00E24C26">
        <w:t>.</w:t>
      </w:r>
    </w:p>
    <w:p w:rsidR="00EB454E" w:rsidRPr="00E24C26" w:rsidRDefault="00EB454E" w:rsidP="00EB454E">
      <w:pPr>
        <w:pStyle w:val="FootnoteText"/>
      </w:pPr>
    </w:p>
  </w:footnote>
  <w:footnote w:id="13">
    <w:p w:rsidR="00EB454E" w:rsidRPr="00E24C26" w:rsidRDefault="00EB454E" w:rsidP="00EB454E">
      <w:pPr>
        <w:pStyle w:val="FootnoteText"/>
      </w:pPr>
      <w:r w:rsidRPr="00E24C26">
        <w:rPr>
          <w:rStyle w:val="FootnoteReference"/>
        </w:rPr>
        <w:footnoteRef/>
      </w:r>
      <w:r w:rsidRPr="00E24C26">
        <w:t xml:space="preserve"> The utilities conducted sensitivity analysis using load profiles for Eversource C&amp;I customers under Rate G and Rate LG, and found insignificant differences in peak hours and resulting customer peak coincidence factors. See “Rate Class Comparison” worksheet within the Eversource template in appendix </w:t>
      </w:r>
      <w:r>
        <w:t>A</w:t>
      </w:r>
      <w:r w:rsidRPr="00E24C26">
        <w:t>.</w:t>
      </w:r>
    </w:p>
    <w:p w:rsidR="00EB454E" w:rsidRPr="00E24C26" w:rsidRDefault="00EB454E" w:rsidP="00EB454E">
      <w:pPr>
        <w:pStyle w:val="FootnoteText"/>
      </w:pPr>
    </w:p>
  </w:footnote>
  <w:footnote w:id="14">
    <w:p w:rsidR="00EB454E" w:rsidRPr="00E24C26" w:rsidRDefault="00EB454E" w:rsidP="00EB454E">
      <w:pPr>
        <w:pStyle w:val="FootnoteText"/>
      </w:pPr>
      <w:r w:rsidRPr="00E24C26">
        <w:rPr>
          <w:rStyle w:val="FootnoteReference"/>
        </w:rPr>
        <w:footnoteRef/>
      </w:r>
      <w:r w:rsidRPr="00E24C26">
        <w:t xml:space="preserve"> DNV-GL, </w:t>
      </w:r>
      <w:r w:rsidRPr="00E24C26">
        <w:rPr>
          <w:i/>
        </w:rPr>
        <w:t>Large C&amp;I Retrofit and New Equipment &amp; Construction Impact Evaluation</w:t>
      </w:r>
      <w:r w:rsidRPr="00E24C26">
        <w:t xml:space="preserve">, Sep 25, 2015. </w:t>
      </w:r>
      <w:hyperlink r:id="rId7" w:history="1">
        <w:r w:rsidRPr="00E24C26">
          <w:rPr>
            <w:rStyle w:val="Hyperlink"/>
          </w:rPr>
          <w:t>http://www.puc.state.nh.us/Electric/Monitoring%20and%20Evaluation%20Reports/New%20Hampshire%20Large%20C&amp;I%20Program%20Impact%20Study%20Final%20Report.pdf</w:t>
        </w:r>
      </w:hyperlink>
      <w:r w:rsidRPr="00E24C26">
        <w:t xml:space="preserve">. </w:t>
      </w:r>
    </w:p>
  </w:footnote>
  <w:footnote w:id="15">
    <w:p w:rsidR="00EB454E" w:rsidRPr="00E24C26" w:rsidRDefault="00EB454E" w:rsidP="00EB454E">
      <w:pPr>
        <w:pStyle w:val="FootnoteText"/>
      </w:pPr>
      <w:r w:rsidRPr="00E24C26">
        <w:rPr>
          <w:rStyle w:val="FootnoteReference"/>
        </w:rPr>
        <w:footnoteRef/>
      </w:r>
      <w:r w:rsidRPr="00E24C26">
        <w:t xml:space="preserve">For more information on data collection and analysis methods, see DNV-GL, </w:t>
      </w:r>
      <w:r w:rsidRPr="00E24C26">
        <w:rPr>
          <w:i/>
        </w:rPr>
        <w:t xml:space="preserve">Large C&amp;I Retrofit and New Equipment &amp; Construction Impact Evaluation, Sep 25, 2015, </w:t>
      </w:r>
      <w:r w:rsidRPr="00E24C26">
        <w:t xml:space="preserve">at </w:t>
      </w:r>
      <w:r w:rsidRPr="00E24C26">
        <w:rPr>
          <w:i/>
        </w:rPr>
        <w:t xml:space="preserve"> </w:t>
      </w:r>
      <w:hyperlink r:id="rId8" w:history="1">
        <w:r w:rsidRPr="00E24C26">
          <w:rPr>
            <w:rStyle w:val="Hyperlink"/>
          </w:rPr>
          <w:t>http://www.puc.state.nh.us/Electric/Monitoring%20and%20Evaluation%20Reports/New%20Hampshire%20Large%20C&amp;I%20Program%20Impact%20Study%20Final%20Report.pdf</w:t>
        </w:r>
      </w:hyperlink>
      <w:r w:rsidRPr="00E24C26">
        <w:t xml:space="preserve"> </w:t>
      </w:r>
    </w:p>
    <w:p w:rsidR="00EB454E" w:rsidRPr="00E24C26" w:rsidRDefault="00EB454E" w:rsidP="00EB454E">
      <w:pPr>
        <w:pStyle w:val="FootnoteText"/>
      </w:pPr>
    </w:p>
  </w:footnote>
  <w:footnote w:id="16">
    <w:p w:rsidR="00EB454E" w:rsidRPr="00E24C26" w:rsidRDefault="00EB454E" w:rsidP="00EB454E">
      <w:pPr>
        <w:pStyle w:val="FootnoteText"/>
      </w:pPr>
      <w:r w:rsidRPr="00E24C26">
        <w:rPr>
          <w:rStyle w:val="FootnoteReference"/>
        </w:rPr>
        <w:footnoteRef/>
      </w:r>
      <w:r w:rsidRPr="00E24C26">
        <w:t xml:space="preserve">See </w:t>
      </w:r>
      <w:hyperlink r:id="rId9" w:history="1">
        <w:r w:rsidRPr="00E24C26">
          <w:rPr>
            <w:rStyle w:val="Hyperlink"/>
          </w:rPr>
          <w:t>https://www.puc.nh.gov/EESE%20Board/EERS_WG/013118_optimal_oca_lbr_wg_memo.pdf</w:t>
        </w:r>
      </w:hyperlink>
      <w:r w:rsidRPr="00E24C26">
        <w:t xml:space="preserve">. For EPRI end use load shape data, see </w:t>
      </w:r>
      <w:hyperlink r:id="rId10" w:history="1">
        <w:r w:rsidRPr="00E24C26">
          <w:rPr>
            <w:rStyle w:val="Hyperlink"/>
          </w:rPr>
          <w:t>http://loadshape.epri.com/enduse</w:t>
        </w:r>
      </w:hyperlink>
      <w:r w:rsidRPr="00E24C26">
        <w:t>. The utilities used the peak weekday load shapes for commercial customers in the Northeast Power Coordinating Council region.</w:t>
      </w:r>
    </w:p>
  </w:footnote>
  <w:footnote w:id="17">
    <w:p w:rsidR="00704BAA" w:rsidRPr="00E24C26" w:rsidRDefault="00704BAA">
      <w:pPr>
        <w:pStyle w:val="FootnoteText"/>
      </w:pPr>
      <w:r w:rsidRPr="00E24C26">
        <w:rPr>
          <w:rStyle w:val="FootnoteReference"/>
        </w:rPr>
        <w:footnoteRef/>
      </w:r>
      <w:r w:rsidRPr="00E24C26">
        <w:t xml:space="preserve"> See </w:t>
      </w:r>
      <w:hyperlink r:id="rId11" w:history="1">
        <w:r w:rsidRPr="00E24C26">
          <w:rPr>
            <w:rStyle w:val="Hyperlink"/>
          </w:rPr>
          <w:t>https://www.puc.nh.gov/Electric/96-150%20%20NH%20Energy%20Efficiency%20Working%20Group%20Final%20Report%20(1999).pdf</w:t>
        </w:r>
      </w:hyperlink>
      <w:r w:rsidRPr="00E24C26">
        <w:t xml:space="preserve"> </w:t>
      </w:r>
    </w:p>
    <w:p w:rsidR="00704BAA" w:rsidRPr="00E24C26" w:rsidRDefault="00704BAA">
      <w:pPr>
        <w:pStyle w:val="FootnoteText"/>
      </w:pPr>
    </w:p>
  </w:footnote>
  <w:footnote w:id="18">
    <w:p w:rsidR="00704BAA" w:rsidRPr="00E24C26" w:rsidRDefault="00704BAA">
      <w:pPr>
        <w:pStyle w:val="FootnoteText"/>
      </w:pPr>
      <w:r w:rsidRPr="00E24C26">
        <w:rPr>
          <w:rStyle w:val="FootnoteReference"/>
        </w:rPr>
        <w:footnoteRef/>
      </w:r>
      <w:r w:rsidRPr="00E24C26">
        <w:t xml:space="preserve"> DNV-GL, </w:t>
      </w:r>
      <w:r w:rsidRPr="00E24C26">
        <w:rPr>
          <w:i/>
        </w:rPr>
        <w:t>Large C&amp;I Retrofit and New Equipment &amp; Construction Impact Evaluation</w:t>
      </w:r>
      <w:r w:rsidRPr="00E24C26">
        <w:t xml:space="preserve">, Sep 25, 2015. </w:t>
      </w:r>
      <w:hyperlink r:id="rId12" w:history="1">
        <w:r w:rsidRPr="00E24C26">
          <w:rPr>
            <w:rStyle w:val="Hyperlink"/>
          </w:rPr>
          <w:t>http://www.puc.state.nh.us/Electric/Monitoring%20and%20Evaluation%20Reports/New%20Hampshire%20Large%20C&amp;I%20Program%20Impact%20Study%20Final%20Report.pdf</w:t>
        </w:r>
      </w:hyperlink>
      <w:r w:rsidRPr="00E24C26">
        <w:t xml:space="preserve">, p.68, table 34. </w:t>
      </w:r>
    </w:p>
  </w:footnote>
  <w:footnote w:id="19">
    <w:p w:rsidR="00704BAA" w:rsidRDefault="00704BAA" w:rsidP="000D2F56">
      <w:r>
        <w:rPr>
          <w:rStyle w:val="FootnoteReference"/>
        </w:rPr>
        <w:footnoteRef/>
      </w:r>
      <w:r>
        <w:t>Staff Comment:   With respect to retirement adjustments (section II,</w:t>
      </w:r>
      <w:r w:rsidR="001F124E">
        <w:t xml:space="preserve"> Table 1, </w:t>
      </w:r>
      <w:r>
        <w:t xml:space="preserve">line 16), the utilities currently retire all measures based on the measure life determined at the time of installation, and those estimates continue for the duration of the measure life.  Staff recommends that, as EM&amp;V studies are conducted and reveal changes to the measure life of these installations, LBR calculations, going forward, should reflect these changes – i.e., LBR calculations going forward should reflect updated measure life for these measures installed in </w:t>
      </w:r>
      <w:r>
        <w:rPr>
          <w:u w:val="single"/>
        </w:rPr>
        <w:t>prior</w:t>
      </w:r>
      <w:r>
        <w:t xml:space="preserve"> years and </w:t>
      </w:r>
      <w:r>
        <w:rPr>
          <w:u w:val="single"/>
        </w:rPr>
        <w:t>future</w:t>
      </w:r>
      <w:r>
        <w:t xml:space="preserve"> years.  Currently, the utilities are reflecting updated measure life only for measures installed in future years.  Staff recommends this adjustment be considered for the next triennium (2021-2023). </w:t>
      </w:r>
      <w:r w:rsidR="001F124E">
        <w:t xml:space="preserve">See </w:t>
      </w:r>
      <w:r w:rsidR="00D00EA3">
        <w:t>“Introductory Comments” describing the Report as largely</w:t>
      </w:r>
      <w:r w:rsidR="001F124E">
        <w:t xml:space="preserve"> a</w:t>
      </w:r>
      <w:r w:rsidR="00D00EA3">
        <w:t xml:space="preserve"> consensus document. </w:t>
      </w:r>
    </w:p>
    <w:p w:rsidR="00704BAA" w:rsidRDefault="00704BAA">
      <w:pPr>
        <w:pStyle w:val="FootnoteText"/>
      </w:pPr>
      <w:r>
        <w:t xml:space="preserve"> </w:t>
      </w:r>
    </w:p>
  </w:footnote>
  <w:footnote w:id="20">
    <w:p w:rsidR="00704BAA" w:rsidRPr="00E24C26" w:rsidRDefault="00704BAA" w:rsidP="000D2F56">
      <w:r>
        <w:rPr>
          <w:rStyle w:val="FootnoteReference"/>
        </w:rPr>
        <w:footnoteRef/>
      </w:r>
      <w:r>
        <w:t>Staff Comment:</w:t>
      </w:r>
      <w:r w:rsidRPr="00B67B7C">
        <w:t xml:space="preserve"> </w:t>
      </w:r>
      <w:r>
        <w:t xml:space="preserve"> With respect to </w:t>
      </w:r>
      <w:r w:rsidR="000303A8">
        <w:t>LBR ADR</w:t>
      </w:r>
      <w:r>
        <w:t xml:space="preserve">, the utilities currently use an </w:t>
      </w:r>
      <w:r>
        <w:rPr>
          <w:u w:val="single"/>
        </w:rPr>
        <w:t>overall</w:t>
      </w:r>
      <w:r>
        <w:t xml:space="preserve"> average by C&amp;I Rate class (ref. Report at Section V and Appendix D).  For improved accuracy, Staff recommends that the utilities use discrete average distribution rates by </w:t>
      </w:r>
      <w:r>
        <w:rPr>
          <w:u w:val="single"/>
        </w:rPr>
        <w:t xml:space="preserve">rate class </w:t>
      </w:r>
      <w:r w:rsidR="000F06DA">
        <w:rPr>
          <w:u w:val="single"/>
        </w:rPr>
        <w:t>beginning no</w:t>
      </w:r>
      <w:r>
        <w:rPr>
          <w:u w:val="single"/>
        </w:rPr>
        <w:t xml:space="preserve"> later than in the next triennium (2021-2023)</w:t>
      </w:r>
      <w:r>
        <w:t>. </w:t>
      </w:r>
      <w:r w:rsidR="001F124E">
        <w:t xml:space="preserve">See </w:t>
      </w:r>
      <w:r w:rsidR="00D00EA3">
        <w:t xml:space="preserve">“Introductory Comments” describing the Report as </w:t>
      </w:r>
      <w:r w:rsidR="001F124E">
        <w:t>l</w:t>
      </w:r>
      <w:r w:rsidR="00D00EA3">
        <w:t xml:space="preserve">argely a consensus document. </w:t>
      </w:r>
    </w:p>
    <w:p w:rsidR="00704BAA" w:rsidRPr="00E24C26" w:rsidRDefault="00704BAA" w:rsidP="000D2F56"/>
    <w:p w:rsidR="00704BAA" w:rsidRDefault="00704BAA">
      <w:pPr>
        <w:pStyle w:val="FootnoteText"/>
      </w:pPr>
    </w:p>
  </w:footnote>
  <w:footnote w:id="21">
    <w:p w:rsidR="00704BAA" w:rsidRDefault="00704BAA" w:rsidP="00B67B7C">
      <w:pPr>
        <w:pStyle w:val="FootnoteText"/>
      </w:pPr>
      <w:r>
        <w:rPr>
          <w:rStyle w:val="FootnoteReference"/>
        </w:rPr>
        <w:footnoteRef/>
      </w:r>
      <w:r>
        <w:t xml:space="preserve"> Staff Comment:  With respect to ratchets and LBR,  Staff believes it would be an improvement if the utilities could develop a uniform methodology for determining the ratchet impact for planning purposes (ref. LBR Template, line 14).  For instance, Eversource analyzed the customer rate class that was billed under the ratchet (Rate GV) and determined the total KVA demand for this rate class – i.e., 2,703,760 KVA.  Then, it determined the KVA ratchet impact for customers who had energy efficiency measures installed, or 3 KVA.  By dividing the KVA ratchet impact by the total KVA demand for the customer rate class, Eversource determined the ratio was immaterial – i.e., 0.00001, or 0.001 percent.  Also, Eversource analysis included data that would allow for other metrics as well (ref. Report at Section VI and Appendix E).  Staff believes it is important for Unitil and Liberty to devise a similar sensitivity analysis, perhaps the same analysis since that would provide for uniformity in the consideration of ratchet impacts.  Given the varied analyses presented and the inconclusive conclusions on impacts, Staff </w:t>
      </w:r>
      <w:r w:rsidR="0033783B">
        <w:t xml:space="preserve">plans to continue its </w:t>
      </w:r>
      <w:r>
        <w:t>review of the methodology for determining ratchet impacts in the context of Staff’s review of the utilities’ 2019 program year filing.</w:t>
      </w:r>
    </w:p>
  </w:footnote>
  <w:footnote w:id="22">
    <w:p w:rsidR="00704BAA" w:rsidRDefault="00704BAA">
      <w:pPr>
        <w:pStyle w:val="FootnoteText"/>
      </w:pPr>
      <w:r w:rsidRPr="00E24C26">
        <w:rPr>
          <w:rStyle w:val="FootnoteReference"/>
        </w:rPr>
        <w:footnoteRef/>
      </w:r>
      <w:r w:rsidRPr="00E24C26">
        <w:t xml:space="preserve"> Currently, the utilities do not assess demand charges within their Residential rate </w:t>
      </w:r>
      <w:r w:rsidRPr="00B64D06">
        <w:t>classes.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5B8"/>
    <w:multiLevelType w:val="hybridMultilevel"/>
    <w:tmpl w:val="FF54FDD6"/>
    <w:lvl w:ilvl="0" w:tplc="0B44696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3063BA7"/>
    <w:multiLevelType w:val="hybridMultilevel"/>
    <w:tmpl w:val="7ABC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AE7394"/>
    <w:multiLevelType w:val="hybridMultilevel"/>
    <w:tmpl w:val="D7DA7ADC"/>
    <w:lvl w:ilvl="0" w:tplc="57F83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F15F0"/>
    <w:multiLevelType w:val="hybridMultilevel"/>
    <w:tmpl w:val="A7A63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2349B"/>
    <w:multiLevelType w:val="hybridMultilevel"/>
    <w:tmpl w:val="B9A0ADC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2834E4"/>
    <w:multiLevelType w:val="hybridMultilevel"/>
    <w:tmpl w:val="15B8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F64B87"/>
    <w:multiLevelType w:val="hybridMultilevel"/>
    <w:tmpl w:val="38D49F66"/>
    <w:lvl w:ilvl="0" w:tplc="1FF44EA4">
      <w:start w:val="6"/>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47065CD"/>
    <w:multiLevelType w:val="hybridMultilevel"/>
    <w:tmpl w:val="C02C0D0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193942"/>
    <w:multiLevelType w:val="hybridMultilevel"/>
    <w:tmpl w:val="527CBF98"/>
    <w:lvl w:ilvl="0" w:tplc="DC345F90">
      <w:start w:val="1"/>
      <w:numFmt w:val="upperLetter"/>
      <w:lvlText w:val="%1."/>
      <w:lvlJc w:val="left"/>
      <w:pPr>
        <w:ind w:left="1440" w:hanging="360"/>
      </w:pPr>
      <w:rPr>
        <w:rFonts w:ascii="Calibri" w:eastAsia="Calibri" w:hAnsi="Calibri"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B6141D0"/>
    <w:multiLevelType w:val="hybridMultilevel"/>
    <w:tmpl w:val="4C98F4E6"/>
    <w:lvl w:ilvl="0" w:tplc="CEA06132">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1EE7A04"/>
    <w:multiLevelType w:val="hybridMultilevel"/>
    <w:tmpl w:val="D6866E30"/>
    <w:lvl w:ilvl="0" w:tplc="B7224A36">
      <w:start w:val="1"/>
      <w:numFmt w:val="upperLetter"/>
      <w:lvlText w:val="%1."/>
      <w:lvlJc w:val="left"/>
      <w:pPr>
        <w:ind w:left="1800" w:hanging="360"/>
      </w:pPr>
      <w:rPr>
        <w:rFonts w:ascii="Calibri" w:eastAsia="Calibri" w:hAnsi="Calibri" w:cs="Calibri"/>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6EF50AA"/>
    <w:multiLevelType w:val="hybridMultilevel"/>
    <w:tmpl w:val="93AA5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8169D1"/>
    <w:multiLevelType w:val="multilevel"/>
    <w:tmpl w:val="AD0072A4"/>
    <w:lvl w:ilvl="0">
      <w:start w:val="1"/>
      <w:numFmt w:val="upperRoman"/>
      <w:pStyle w:val="Heading1"/>
      <w:lvlText w:val="%1."/>
      <w:lvlJc w:val="left"/>
      <w:pPr>
        <w:ind w:left="0" w:firstLine="0"/>
      </w:pPr>
      <w:rPr>
        <w:rFonts w:hint="default"/>
        <w:b w:val="0"/>
        <w:color w:val="auto"/>
      </w:rPr>
    </w:lvl>
    <w:lvl w:ilvl="1">
      <w:start w:val="1"/>
      <w:numFmt w:val="upperLetter"/>
      <w:pStyle w:val="Heading2"/>
      <w:lvlText w:val="%2."/>
      <w:lvlJc w:val="left"/>
      <w:pPr>
        <w:ind w:left="720" w:firstLine="0"/>
      </w:pPr>
      <w:rPr>
        <w:rFonts w:hint="default"/>
      </w:rPr>
    </w:lvl>
    <w:lvl w:ilvl="2">
      <w:start w:val="1"/>
      <w:numFmt w:val="upperLetter"/>
      <w:pStyle w:val="Heading3"/>
      <w:lvlText w:val="%3."/>
      <w:lvlJc w:val="left"/>
      <w:pPr>
        <w:ind w:left="630" w:firstLine="0"/>
      </w:pPr>
      <w:rPr>
        <w:rFonts w:hint="default"/>
        <w:b w:val="0"/>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1530" w:firstLine="0"/>
      </w:pPr>
      <w:rPr>
        <w:rFonts w:hint="default"/>
        <w:color w:val="auto"/>
        <w:u w:val="none"/>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nsid w:val="60363466"/>
    <w:multiLevelType w:val="hybridMultilevel"/>
    <w:tmpl w:val="E250AB3A"/>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30176B"/>
    <w:multiLevelType w:val="hybridMultilevel"/>
    <w:tmpl w:val="7C962672"/>
    <w:lvl w:ilvl="0" w:tplc="5F9C5EDA">
      <w:start w:val="1"/>
      <w:numFmt w:val="upperLetter"/>
      <w:lvlText w:val="%1."/>
      <w:lvlJc w:val="left"/>
      <w:pPr>
        <w:ind w:left="1800" w:hanging="360"/>
      </w:pPr>
      <w:rPr>
        <w:rFonts w:ascii="Calibri" w:eastAsia="Calibri" w:hAnsi="Calibri" w:cs="Calibr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4EA3EA7"/>
    <w:multiLevelType w:val="hybridMultilevel"/>
    <w:tmpl w:val="AE581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A51521"/>
    <w:multiLevelType w:val="hybridMultilevel"/>
    <w:tmpl w:val="67D26B9E"/>
    <w:lvl w:ilvl="0" w:tplc="FF5ADD5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799215D6"/>
    <w:multiLevelType w:val="hybridMultilevel"/>
    <w:tmpl w:val="8F3EB81E"/>
    <w:lvl w:ilvl="0" w:tplc="51DAAF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4"/>
  </w:num>
  <w:num w:numId="11">
    <w:abstractNumId w:val="11"/>
  </w:num>
  <w:num w:numId="12">
    <w:abstractNumId w:val="6"/>
  </w:num>
  <w:num w:numId="13">
    <w:abstractNumId w:val="2"/>
  </w:num>
  <w:num w:numId="14">
    <w:abstractNumId w:val="16"/>
  </w:num>
  <w:num w:numId="15">
    <w:abstractNumId w:val="0"/>
  </w:num>
  <w:num w:numId="16">
    <w:abstractNumId w:val="14"/>
  </w:num>
  <w:num w:numId="17">
    <w:abstractNumId w:val="13"/>
  </w:num>
  <w:num w:numId="1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revisionView w:markup="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EA0"/>
    <w:rsid w:val="00001ED5"/>
    <w:rsid w:val="000035C8"/>
    <w:rsid w:val="000064F9"/>
    <w:rsid w:val="0001087B"/>
    <w:rsid w:val="00014111"/>
    <w:rsid w:val="0002257A"/>
    <w:rsid w:val="000303A8"/>
    <w:rsid w:val="0004427C"/>
    <w:rsid w:val="000442EF"/>
    <w:rsid w:val="000448D6"/>
    <w:rsid w:val="000462AC"/>
    <w:rsid w:val="00051E4F"/>
    <w:rsid w:val="00055A74"/>
    <w:rsid w:val="00064548"/>
    <w:rsid w:val="00064674"/>
    <w:rsid w:val="00064939"/>
    <w:rsid w:val="00064CA5"/>
    <w:rsid w:val="00075C56"/>
    <w:rsid w:val="0007752C"/>
    <w:rsid w:val="00084107"/>
    <w:rsid w:val="000A2932"/>
    <w:rsid w:val="000A7A3C"/>
    <w:rsid w:val="000B5538"/>
    <w:rsid w:val="000B6130"/>
    <w:rsid w:val="000B6D28"/>
    <w:rsid w:val="000B7347"/>
    <w:rsid w:val="000C338D"/>
    <w:rsid w:val="000D2F56"/>
    <w:rsid w:val="000E1F66"/>
    <w:rsid w:val="000E376A"/>
    <w:rsid w:val="000F06DA"/>
    <w:rsid w:val="000F6655"/>
    <w:rsid w:val="00100461"/>
    <w:rsid w:val="00102AD3"/>
    <w:rsid w:val="00123D51"/>
    <w:rsid w:val="00124E29"/>
    <w:rsid w:val="00127F18"/>
    <w:rsid w:val="001309D8"/>
    <w:rsid w:val="00141BAF"/>
    <w:rsid w:val="00143537"/>
    <w:rsid w:val="001450C9"/>
    <w:rsid w:val="001528FC"/>
    <w:rsid w:val="00157E14"/>
    <w:rsid w:val="001607BA"/>
    <w:rsid w:val="00161020"/>
    <w:rsid w:val="001625EA"/>
    <w:rsid w:val="001708B6"/>
    <w:rsid w:val="00174DA0"/>
    <w:rsid w:val="00181522"/>
    <w:rsid w:val="00182A40"/>
    <w:rsid w:val="00184A17"/>
    <w:rsid w:val="0019339A"/>
    <w:rsid w:val="00196569"/>
    <w:rsid w:val="001A2743"/>
    <w:rsid w:val="001A568F"/>
    <w:rsid w:val="001B34A5"/>
    <w:rsid w:val="001B750D"/>
    <w:rsid w:val="001C1949"/>
    <w:rsid w:val="001C5787"/>
    <w:rsid w:val="001C7EC8"/>
    <w:rsid w:val="001D2B97"/>
    <w:rsid w:val="001D31F9"/>
    <w:rsid w:val="001D5A60"/>
    <w:rsid w:val="001E22CF"/>
    <w:rsid w:val="001E2862"/>
    <w:rsid w:val="001E330C"/>
    <w:rsid w:val="001E3883"/>
    <w:rsid w:val="001F124E"/>
    <w:rsid w:val="001F7900"/>
    <w:rsid w:val="00200926"/>
    <w:rsid w:val="00201F8D"/>
    <w:rsid w:val="00205298"/>
    <w:rsid w:val="0021213B"/>
    <w:rsid w:val="002201AE"/>
    <w:rsid w:val="00224329"/>
    <w:rsid w:val="00226FD3"/>
    <w:rsid w:val="0023124A"/>
    <w:rsid w:val="00235079"/>
    <w:rsid w:val="00236BF0"/>
    <w:rsid w:val="0024561F"/>
    <w:rsid w:val="00250E49"/>
    <w:rsid w:val="002620AB"/>
    <w:rsid w:val="00263FBA"/>
    <w:rsid w:val="00272B46"/>
    <w:rsid w:val="00291FDA"/>
    <w:rsid w:val="002A08B0"/>
    <w:rsid w:val="002A0F7C"/>
    <w:rsid w:val="002C2EA0"/>
    <w:rsid w:val="002C5D3A"/>
    <w:rsid w:val="002C7580"/>
    <w:rsid w:val="002D0C45"/>
    <w:rsid w:val="002E5DFD"/>
    <w:rsid w:val="002F38E1"/>
    <w:rsid w:val="003106FA"/>
    <w:rsid w:val="00313EBB"/>
    <w:rsid w:val="0031438A"/>
    <w:rsid w:val="0032690E"/>
    <w:rsid w:val="00331506"/>
    <w:rsid w:val="00336402"/>
    <w:rsid w:val="0033783B"/>
    <w:rsid w:val="00341B2E"/>
    <w:rsid w:val="00345827"/>
    <w:rsid w:val="00347595"/>
    <w:rsid w:val="00347CF9"/>
    <w:rsid w:val="00351F27"/>
    <w:rsid w:val="00361907"/>
    <w:rsid w:val="00363227"/>
    <w:rsid w:val="003709FB"/>
    <w:rsid w:val="00370DAE"/>
    <w:rsid w:val="0037362B"/>
    <w:rsid w:val="00385A0F"/>
    <w:rsid w:val="003A012A"/>
    <w:rsid w:val="003A5EDD"/>
    <w:rsid w:val="003A6205"/>
    <w:rsid w:val="003A6242"/>
    <w:rsid w:val="003B42AE"/>
    <w:rsid w:val="003C3478"/>
    <w:rsid w:val="003D521E"/>
    <w:rsid w:val="003D7FDE"/>
    <w:rsid w:val="003E396D"/>
    <w:rsid w:val="003E6E44"/>
    <w:rsid w:val="004019D9"/>
    <w:rsid w:val="00402A8C"/>
    <w:rsid w:val="00404B73"/>
    <w:rsid w:val="004051AF"/>
    <w:rsid w:val="00423BF7"/>
    <w:rsid w:val="00425ED2"/>
    <w:rsid w:val="0043242C"/>
    <w:rsid w:val="00435313"/>
    <w:rsid w:val="0043633E"/>
    <w:rsid w:val="00443FC4"/>
    <w:rsid w:val="00445CC7"/>
    <w:rsid w:val="00451BF3"/>
    <w:rsid w:val="004603A1"/>
    <w:rsid w:val="0046158A"/>
    <w:rsid w:val="004632B3"/>
    <w:rsid w:val="00466D19"/>
    <w:rsid w:val="00471E31"/>
    <w:rsid w:val="00472841"/>
    <w:rsid w:val="00473E16"/>
    <w:rsid w:val="00475690"/>
    <w:rsid w:val="0047575C"/>
    <w:rsid w:val="004776FD"/>
    <w:rsid w:val="004836F6"/>
    <w:rsid w:val="00497831"/>
    <w:rsid w:val="004A1727"/>
    <w:rsid w:val="004A42FB"/>
    <w:rsid w:val="004A48AA"/>
    <w:rsid w:val="004B2708"/>
    <w:rsid w:val="004B309F"/>
    <w:rsid w:val="004C7122"/>
    <w:rsid w:val="004D1FDB"/>
    <w:rsid w:val="004D5F9A"/>
    <w:rsid w:val="004E0CD6"/>
    <w:rsid w:val="004E344F"/>
    <w:rsid w:val="004E56B1"/>
    <w:rsid w:val="004F0012"/>
    <w:rsid w:val="004F2C45"/>
    <w:rsid w:val="00527997"/>
    <w:rsid w:val="00527EA7"/>
    <w:rsid w:val="0053348E"/>
    <w:rsid w:val="005344B2"/>
    <w:rsid w:val="00541CDC"/>
    <w:rsid w:val="005467EE"/>
    <w:rsid w:val="00557878"/>
    <w:rsid w:val="00557A82"/>
    <w:rsid w:val="005671EA"/>
    <w:rsid w:val="005829DD"/>
    <w:rsid w:val="00583541"/>
    <w:rsid w:val="00584FBA"/>
    <w:rsid w:val="005A2013"/>
    <w:rsid w:val="005A45DE"/>
    <w:rsid w:val="005A5965"/>
    <w:rsid w:val="005A694F"/>
    <w:rsid w:val="005B2840"/>
    <w:rsid w:val="005C1C64"/>
    <w:rsid w:val="005D1ADA"/>
    <w:rsid w:val="005D20D2"/>
    <w:rsid w:val="005D4560"/>
    <w:rsid w:val="005E0CCE"/>
    <w:rsid w:val="005E4F65"/>
    <w:rsid w:val="005E5665"/>
    <w:rsid w:val="005F6D77"/>
    <w:rsid w:val="00601B56"/>
    <w:rsid w:val="00602A67"/>
    <w:rsid w:val="00603DDB"/>
    <w:rsid w:val="0060419D"/>
    <w:rsid w:val="00606666"/>
    <w:rsid w:val="00616831"/>
    <w:rsid w:val="006208D0"/>
    <w:rsid w:val="00621B8D"/>
    <w:rsid w:val="006238DD"/>
    <w:rsid w:val="006268BF"/>
    <w:rsid w:val="006354BE"/>
    <w:rsid w:val="006421A9"/>
    <w:rsid w:val="0064418C"/>
    <w:rsid w:val="00646F50"/>
    <w:rsid w:val="00647FBA"/>
    <w:rsid w:val="00651C24"/>
    <w:rsid w:val="006559DD"/>
    <w:rsid w:val="00662ED7"/>
    <w:rsid w:val="00663D23"/>
    <w:rsid w:val="00664266"/>
    <w:rsid w:val="006650EC"/>
    <w:rsid w:val="00666289"/>
    <w:rsid w:val="00666D60"/>
    <w:rsid w:val="00670F10"/>
    <w:rsid w:val="00672425"/>
    <w:rsid w:val="0068674C"/>
    <w:rsid w:val="006962A0"/>
    <w:rsid w:val="006A1E76"/>
    <w:rsid w:val="006A3122"/>
    <w:rsid w:val="006C4C59"/>
    <w:rsid w:val="006C6509"/>
    <w:rsid w:val="006C7964"/>
    <w:rsid w:val="006D0483"/>
    <w:rsid w:val="006D3176"/>
    <w:rsid w:val="006E2E20"/>
    <w:rsid w:val="006F08F2"/>
    <w:rsid w:val="006F24BB"/>
    <w:rsid w:val="006F4A76"/>
    <w:rsid w:val="006F6A4D"/>
    <w:rsid w:val="006F7C2B"/>
    <w:rsid w:val="00704456"/>
    <w:rsid w:val="00704BAA"/>
    <w:rsid w:val="0071039E"/>
    <w:rsid w:val="007168B1"/>
    <w:rsid w:val="00717356"/>
    <w:rsid w:val="00720846"/>
    <w:rsid w:val="00722F68"/>
    <w:rsid w:val="00736647"/>
    <w:rsid w:val="0074388F"/>
    <w:rsid w:val="00746990"/>
    <w:rsid w:val="00746C64"/>
    <w:rsid w:val="0075456E"/>
    <w:rsid w:val="007559CB"/>
    <w:rsid w:val="0077164F"/>
    <w:rsid w:val="00772CB6"/>
    <w:rsid w:val="00776825"/>
    <w:rsid w:val="00780325"/>
    <w:rsid w:val="00784EDD"/>
    <w:rsid w:val="00792050"/>
    <w:rsid w:val="007956B4"/>
    <w:rsid w:val="007A260B"/>
    <w:rsid w:val="007B4B01"/>
    <w:rsid w:val="007C2F03"/>
    <w:rsid w:val="007C5B4A"/>
    <w:rsid w:val="007C7F6F"/>
    <w:rsid w:val="007D04A3"/>
    <w:rsid w:val="007D158E"/>
    <w:rsid w:val="007D69CE"/>
    <w:rsid w:val="007E0C87"/>
    <w:rsid w:val="007E310E"/>
    <w:rsid w:val="007E4A38"/>
    <w:rsid w:val="007E4AA7"/>
    <w:rsid w:val="007E5995"/>
    <w:rsid w:val="007F1842"/>
    <w:rsid w:val="007F271E"/>
    <w:rsid w:val="007F33F5"/>
    <w:rsid w:val="007F55F6"/>
    <w:rsid w:val="007F7B9F"/>
    <w:rsid w:val="00800C64"/>
    <w:rsid w:val="00807AC1"/>
    <w:rsid w:val="00812C35"/>
    <w:rsid w:val="00817797"/>
    <w:rsid w:val="00817897"/>
    <w:rsid w:val="00822A5D"/>
    <w:rsid w:val="0082427C"/>
    <w:rsid w:val="00827288"/>
    <w:rsid w:val="00833940"/>
    <w:rsid w:val="00833FC3"/>
    <w:rsid w:val="00835BAC"/>
    <w:rsid w:val="00836A6A"/>
    <w:rsid w:val="008426BA"/>
    <w:rsid w:val="00844591"/>
    <w:rsid w:val="00847F8B"/>
    <w:rsid w:val="00851C37"/>
    <w:rsid w:val="008536C3"/>
    <w:rsid w:val="00853BD7"/>
    <w:rsid w:val="0085432D"/>
    <w:rsid w:val="00863463"/>
    <w:rsid w:val="00863485"/>
    <w:rsid w:val="008638A3"/>
    <w:rsid w:val="00865777"/>
    <w:rsid w:val="00870F36"/>
    <w:rsid w:val="00873B65"/>
    <w:rsid w:val="0087791B"/>
    <w:rsid w:val="0088206B"/>
    <w:rsid w:val="00882862"/>
    <w:rsid w:val="008841E5"/>
    <w:rsid w:val="00887566"/>
    <w:rsid w:val="00893E26"/>
    <w:rsid w:val="008A726A"/>
    <w:rsid w:val="008B120D"/>
    <w:rsid w:val="008B2432"/>
    <w:rsid w:val="008B420A"/>
    <w:rsid w:val="008B656A"/>
    <w:rsid w:val="008B6CC9"/>
    <w:rsid w:val="008C0DC8"/>
    <w:rsid w:val="008F0156"/>
    <w:rsid w:val="008F0BFE"/>
    <w:rsid w:val="008F56B3"/>
    <w:rsid w:val="009002DA"/>
    <w:rsid w:val="00904F3A"/>
    <w:rsid w:val="00906F07"/>
    <w:rsid w:val="00912F32"/>
    <w:rsid w:val="0092092E"/>
    <w:rsid w:val="009232D8"/>
    <w:rsid w:val="0092367B"/>
    <w:rsid w:val="00925A8E"/>
    <w:rsid w:val="0093560A"/>
    <w:rsid w:val="00941458"/>
    <w:rsid w:val="00943B6B"/>
    <w:rsid w:val="00944B84"/>
    <w:rsid w:val="00946364"/>
    <w:rsid w:val="00960C57"/>
    <w:rsid w:val="0096596D"/>
    <w:rsid w:val="009734DA"/>
    <w:rsid w:val="00975910"/>
    <w:rsid w:val="00975ED5"/>
    <w:rsid w:val="009823C1"/>
    <w:rsid w:val="009824F7"/>
    <w:rsid w:val="0099370F"/>
    <w:rsid w:val="00996ABB"/>
    <w:rsid w:val="00997567"/>
    <w:rsid w:val="009A4BBF"/>
    <w:rsid w:val="009B09FB"/>
    <w:rsid w:val="009B24DE"/>
    <w:rsid w:val="009B7E85"/>
    <w:rsid w:val="009C16FF"/>
    <w:rsid w:val="009C1D31"/>
    <w:rsid w:val="009D1531"/>
    <w:rsid w:val="009D77E7"/>
    <w:rsid w:val="009D7C54"/>
    <w:rsid w:val="009E22C1"/>
    <w:rsid w:val="009E469A"/>
    <w:rsid w:val="009E57AD"/>
    <w:rsid w:val="009F4F2E"/>
    <w:rsid w:val="00A016AE"/>
    <w:rsid w:val="00A069E1"/>
    <w:rsid w:val="00A1778E"/>
    <w:rsid w:val="00A237EF"/>
    <w:rsid w:val="00A24686"/>
    <w:rsid w:val="00A32071"/>
    <w:rsid w:val="00A32F43"/>
    <w:rsid w:val="00A339D1"/>
    <w:rsid w:val="00A35D7D"/>
    <w:rsid w:val="00A370C2"/>
    <w:rsid w:val="00A40EC5"/>
    <w:rsid w:val="00A44372"/>
    <w:rsid w:val="00A4689C"/>
    <w:rsid w:val="00A50F46"/>
    <w:rsid w:val="00A5171D"/>
    <w:rsid w:val="00A51D99"/>
    <w:rsid w:val="00A539B6"/>
    <w:rsid w:val="00A575A4"/>
    <w:rsid w:val="00A6189D"/>
    <w:rsid w:val="00A75EA3"/>
    <w:rsid w:val="00A7732A"/>
    <w:rsid w:val="00A8353E"/>
    <w:rsid w:val="00A90B75"/>
    <w:rsid w:val="00A92757"/>
    <w:rsid w:val="00AA0D35"/>
    <w:rsid w:val="00AA3360"/>
    <w:rsid w:val="00AA5BC1"/>
    <w:rsid w:val="00AA78C8"/>
    <w:rsid w:val="00AB2929"/>
    <w:rsid w:val="00AC44B0"/>
    <w:rsid w:val="00AD0444"/>
    <w:rsid w:val="00AD7945"/>
    <w:rsid w:val="00AE00CF"/>
    <w:rsid w:val="00AE0EA9"/>
    <w:rsid w:val="00AE341A"/>
    <w:rsid w:val="00AE7D1C"/>
    <w:rsid w:val="00AF3458"/>
    <w:rsid w:val="00AF70A7"/>
    <w:rsid w:val="00B00F80"/>
    <w:rsid w:val="00B05A81"/>
    <w:rsid w:val="00B10D05"/>
    <w:rsid w:val="00B23AF0"/>
    <w:rsid w:val="00B25C4E"/>
    <w:rsid w:val="00B36AB8"/>
    <w:rsid w:val="00B41328"/>
    <w:rsid w:val="00B4645F"/>
    <w:rsid w:val="00B50503"/>
    <w:rsid w:val="00B50D53"/>
    <w:rsid w:val="00B53297"/>
    <w:rsid w:val="00B57A17"/>
    <w:rsid w:val="00B6278A"/>
    <w:rsid w:val="00B62CC1"/>
    <w:rsid w:val="00B64D06"/>
    <w:rsid w:val="00B66BCC"/>
    <w:rsid w:val="00B67B7C"/>
    <w:rsid w:val="00B7688E"/>
    <w:rsid w:val="00B866A8"/>
    <w:rsid w:val="00B94E98"/>
    <w:rsid w:val="00B958AE"/>
    <w:rsid w:val="00B95CD9"/>
    <w:rsid w:val="00BA55F0"/>
    <w:rsid w:val="00BB0F2A"/>
    <w:rsid w:val="00BB3472"/>
    <w:rsid w:val="00BB7ADB"/>
    <w:rsid w:val="00BC1217"/>
    <w:rsid w:val="00BC23AA"/>
    <w:rsid w:val="00BC3844"/>
    <w:rsid w:val="00BC696C"/>
    <w:rsid w:val="00BC6DD5"/>
    <w:rsid w:val="00BC75F7"/>
    <w:rsid w:val="00BD43A4"/>
    <w:rsid w:val="00BD4C3F"/>
    <w:rsid w:val="00BE2C23"/>
    <w:rsid w:val="00BF15C8"/>
    <w:rsid w:val="00BF1DB5"/>
    <w:rsid w:val="00BF6DCF"/>
    <w:rsid w:val="00C26F3A"/>
    <w:rsid w:val="00C407A2"/>
    <w:rsid w:val="00C42C6B"/>
    <w:rsid w:val="00C467F2"/>
    <w:rsid w:val="00C46F2B"/>
    <w:rsid w:val="00C53560"/>
    <w:rsid w:val="00C53CE2"/>
    <w:rsid w:val="00C57040"/>
    <w:rsid w:val="00C57E42"/>
    <w:rsid w:val="00C63631"/>
    <w:rsid w:val="00C66F3B"/>
    <w:rsid w:val="00C7092F"/>
    <w:rsid w:val="00C756B1"/>
    <w:rsid w:val="00C76D24"/>
    <w:rsid w:val="00C86369"/>
    <w:rsid w:val="00C9029E"/>
    <w:rsid w:val="00C929C1"/>
    <w:rsid w:val="00CA383C"/>
    <w:rsid w:val="00CA47CE"/>
    <w:rsid w:val="00CA55AC"/>
    <w:rsid w:val="00CB252B"/>
    <w:rsid w:val="00CC19D8"/>
    <w:rsid w:val="00CC3B9F"/>
    <w:rsid w:val="00CD3253"/>
    <w:rsid w:val="00CF646A"/>
    <w:rsid w:val="00D00EA3"/>
    <w:rsid w:val="00D02351"/>
    <w:rsid w:val="00D02F86"/>
    <w:rsid w:val="00D07F88"/>
    <w:rsid w:val="00D159CC"/>
    <w:rsid w:val="00D26780"/>
    <w:rsid w:val="00D30BA9"/>
    <w:rsid w:val="00D314D4"/>
    <w:rsid w:val="00D3183D"/>
    <w:rsid w:val="00D33632"/>
    <w:rsid w:val="00D34DF0"/>
    <w:rsid w:val="00D37983"/>
    <w:rsid w:val="00D401CF"/>
    <w:rsid w:val="00D40CC6"/>
    <w:rsid w:val="00D5376E"/>
    <w:rsid w:val="00D609EA"/>
    <w:rsid w:val="00D62414"/>
    <w:rsid w:val="00D63F59"/>
    <w:rsid w:val="00D65105"/>
    <w:rsid w:val="00D6781F"/>
    <w:rsid w:val="00D70007"/>
    <w:rsid w:val="00D731F5"/>
    <w:rsid w:val="00D81555"/>
    <w:rsid w:val="00D82154"/>
    <w:rsid w:val="00D9012D"/>
    <w:rsid w:val="00D95D08"/>
    <w:rsid w:val="00D96E28"/>
    <w:rsid w:val="00DA4966"/>
    <w:rsid w:val="00DC321F"/>
    <w:rsid w:val="00DD391B"/>
    <w:rsid w:val="00DD59E1"/>
    <w:rsid w:val="00DE72B3"/>
    <w:rsid w:val="00DF2202"/>
    <w:rsid w:val="00DF3B74"/>
    <w:rsid w:val="00E00992"/>
    <w:rsid w:val="00E012F5"/>
    <w:rsid w:val="00E015EC"/>
    <w:rsid w:val="00E06814"/>
    <w:rsid w:val="00E0742B"/>
    <w:rsid w:val="00E23568"/>
    <w:rsid w:val="00E24C26"/>
    <w:rsid w:val="00E32326"/>
    <w:rsid w:val="00E40181"/>
    <w:rsid w:val="00E4344A"/>
    <w:rsid w:val="00E47738"/>
    <w:rsid w:val="00E54B45"/>
    <w:rsid w:val="00E650DF"/>
    <w:rsid w:val="00E66EC4"/>
    <w:rsid w:val="00E80C3E"/>
    <w:rsid w:val="00E8123E"/>
    <w:rsid w:val="00E85BB5"/>
    <w:rsid w:val="00E86320"/>
    <w:rsid w:val="00E92150"/>
    <w:rsid w:val="00E960EE"/>
    <w:rsid w:val="00EA1226"/>
    <w:rsid w:val="00EA3D2C"/>
    <w:rsid w:val="00EA4EE8"/>
    <w:rsid w:val="00EB454E"/>
    <w:rsid w:val="00EB6D61"/>
    <w:rsid w:val="00EC18AE"/>
    <w:rsid w:val="00ED38CC"/>
    <w:rsid w:val="00EE006F"/>
    <w:rsid w:val="00EE1548"/>
    <w:rsid w:val="00EE2C3B"/>
    <w:rsid w:val="00EE733A"/>
    <w:rsid w:val="00EE7E1F"/>
    <w:rsid w:val="00EF12E8"/>
    <w:rsid w:val="00EF1A5F"/>
    <w:rsid w:val="00EF64E0"/>
    <w:rsid w:val="00F113D6"/>
    <w:rsid w:val="00F16CB2"/>
    <w:rsid w:val="00F25F48"/>
    <w:rsid w:val="00F279D5"/>
    <w:rsid w:val="00F33D81"/>
    <w:rsid w:val="00F443CA"/>
    <w:rsid w:val="00F472B6"/>
    <w:rsid w:val="00F5065C"/>
    <w:rsid w:val="00F57DDC"/>
    <w:rsid w:val="00F622A7"/>
    <w:rsid w:val="00F716AC"/>
    <w:rsid w:val="00F81A6B"/>
    <w:rsid w:val="00F829D1"/>
    <w:rsid w:val="00F934C7"/>
    <w:rsid w:val="00F9442D"/>
    <w:rsid w:val="00F95057"/>
    <w:rsid w:val="00FA1729"/>
    <w:rsid w:val="00FB07A3"/>
    <w:rsid w:val="00FB3F7B"/>
    <w:rsid w:val="00FC5631"/>
    <w:rsid w:val="00FD07D9"/>
    <w:rsid w:val="00FD10E9"/>
    <w:rsid w:val="00FD7777"/>
    <w:rsid w:val="00FF7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DA0"/>
    <w:pPr>
      <w:spacing w:after="160" w:line="259" w:lineRule="auto"/>
    </w:pPr>
    <w:rPr>
      <w:sz w:val="22"/>
      <w:szCs w:val="22"/>
    </w:rPr>
  </w:style>
  <w:style w:type="paragraph" w:styleId="Heading1">
    <w:name w:val="heading 1"/>
    <w:basedOn w:val="Normal"/>
    <w:next w:val="Normal"/>
    <w:link w:val="Heading1Char"/>
    <w:uiPriority w:val="9"/>
    <w:qFormat/>
    <w:rsid w:val="002C2EA0"/>
    <w:pPr>
      <w:keepNext/>
      <w:keepLines/>
      <w:numPr>
        <w:numId w:val="1"/>
      </w:numPr>
      <w:spacing w:before="240" w:after="0"/>
      <w:outlineLvl w:val="0"/>
    </w:pPr>
    <w:rPr>
      <w:rFonts w:ascii="Calibri Light" w:eastAsia="Times New Roman" w:hAnsi="Calibri Light"/>
      <w:color w:val="2E74B5"/>
      <w:sz w:val="32"/>
      <w:szCs w:val="32"/>
      <w:lang w:val="x-none" w:eastAsia="x-none"/>
    </w:rPr>
  </w:style>
  <w:style w:type="paragraph" w:styleId="Heading2">
    <w:name w:val="heading 2"/>
    <w:basedOn w:val="Normal"/>
    <w:next w:val="Normal"/>
    <w:link w:val="Heading2Char"/>
    <w:uiPriority w:val="9"/>
    <w:unhideWhenUsed/>
    <w:qFormat/>
    <w:rsid w:val="002C2EA0"/>
    <w:pPr>
      <w:keepNext/>
      <w:keepLines/>
      <w:numPr>
        <w:ilvl w:val="1"/>
        <w:numId w:val="1"/>
      </w:numPr>
      <w:spacing w:before="40" w:after="0"/>
      <w:outlineLvl w:val="1"/>
    </w:pPr>
    <w:rPr>
      <w:rFonts w:ascii="Calibri Light" w:eastAsia="Times New Roman" w:hAnsi="Calibri Light"/>
      <w:color w:val="2E74B5"/>
      <w:sz w:val="26"/>
      <w:szCs w:val="26"/>
      <w:lang w:val="x-none" w:eastAsia="x-none"/>
    </w:rPr>
  </w:style>
  <w:style w:type="paragraph" w:styleId="Heading3">
    <w:name w:val="heading 3"/>
    <w:basedOn w:val="Normal"/>
    <w:next w:val="Normal"/>
    <w:link w:val="Heading3Char"/>
    <w:uiPriority w:val="9"/>
    <w:unhideWhenUsed/>
    <w:qFormat/>
    <w:rsid w:val="00064674"/>
    <w:pPr>
      <w:keepNext/>
      <w:keepLines/>
      <w:numPr>
        <w:ilvl w:val="2"/>
        <w:numId w:val="1"/>
      </w:numPr>
      <w:spacing w:before="120" w:after="120"/>
      <w:outlineLvl w:val="2"/>
    </w:pPr>
    <w:rPr>
      <w:rFonts w:ascii="Calibri Light" w:eastAsia="Times New Roman" w:hAnsi="Calibri Light"/>
      <w:sz w:val="24"/>
      <w:szCs w:val="24"/>
      <w:lang w:val="x-none" w:eastAsia="x-none"/>
    </w:rPr>
  </w:style>
  <w:style w:type="paragraph" w:styleId="Heading4">
    <w:name w:val="heading 4"/>
    <w:basedOn w:val="Normal"/>
    <w:next w:val="Normal"/>
    <w:link w:val="Heading4Char"/>
    <w:uiPriority w:val="9"/>
    <w:unhideWhenUsed/>
    <w:qFormat/>
    <w:rsid w:val="007F55F6"/>
    <w:pPr>
      <w:keepNext/>
      <w:keepLines/>
      <w:numPr>
        <w:ilvl w:val="3"/>
        <w:numId w:val="1"/>
      </w:numPr>
      <w:spacing w:before="40" w:after="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uiPriority w:val="9"/>
    <w:unhideWhenUsed/>
    <w:qFormat/>
    <w:rsid w:val="007F55F6"/>
    <w:pPr>
      <w:keepNext/>
      <w:keepLines/>
      <w:numPr>
        <w:ilvl w:val="4"/>
        <w:numId w:val="1"/>
      </w:numPr>
      <w:spacing w:before="40" w:after="0"/>
      <w:outlineLvl w:val="4"/>
    </w:pPr>
    <w:rPr>
      <w:rFonts w:ascii="Calibri Light" w:eastAsia="Times New Roman" w:hAnsi="Calibri Light"/>
      <w:color w:val="2E74B5"/>
      <w:lang w:val="x-none" w:eastAsia="x-none"/>
    </w:rPr>
  </w:style>
  <w:style w:type="paragraph" w:styleId="Heading6">
    <w:name w:val="heading 6"/>
    <w:basedOn w:val="Normal"/>
    <w:next w:val="Normal"/>
    <w:link w:val="Heading6Char"/>
    <w:uiPriority w:val="9"/>
    <w:unhideWhenUsed/>
    <w:qFormat/>
    <w:rsid w:val="002C2EA0"/>
    <w:pPr>
      <w:keepNext/>
      <w:keepLines/>
      <w:numPr>
        <w:ilvl w:val="5"/>
        <w:numId w:val="1"/>
      </w:numPr>
      <w:spacing w:before="40" w:after="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unhideWhenUsed/>
    <w:qFormat/>
    <w:rsid w:val="002C2EA0"/>
    <w:pPr>
      <w:keepNext/>
      <w:keepLines/>
      <w:numPr>
        <w:ilvl w:val="6"/>
        <w:numId w:val="1"/>
      </w:numPr>
      <w:spacing w:before="40" w:after="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2C2EA0"/>
    <w:pPr>
      <w:keepNext/>
      <w:keepLines/>
      <w:numPr>
        <w:ilvl w:val="7"/>
        <w:numId w:val="1"/>
      </w:numPr>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2C2EA0"/>
    <w:pPr>
      <w:keepNext/>
      <w:keepLines/>
      <w:numPr>
        <w:ilvl w:val="8"/>
        <w:numId w:val="1"/>
      </w:numPr>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2EA0"/>
    <w:rPr>
      <w:rFonts w:ascii="Calibri Light" w:eastAsia="Times New Roman" w:hAnsi="Calibri Light"/>
      <w:color w:val="2E74B5"/>
      <w:sz w:val="32"/>
      <w:szCs w:val="32"/>
    </w:rPr>
  </w:style>
  <w:style w:type="character" w:customStyle="1" w:styleId="Heading2Char">
    <w:name w:val="Heading 2 Char"/>
    <w:link w:val="Heading2"/>
    <w:uiPriority w:val="9"/>
    <w:rsid w:val="002C2EA0"/>
    <w:rPr>
      <w:rFonts w:ascii="Calibri Light" w:eastAsia="Times New Roman" w:hAnsi="Calibri Light"/>
      <w:color w:val="2E74B5"/>
      <w:sz w:val="26"/>
      <w:szCs w:val="26"/>
    </w:rPr>
  </w:style>
  <w:style w:type="character" w:customStyle="1" w:styleId="Heading3Char">
    <w:name w:val="Heading 3 Char"/>
    <w:link w:val="Heading3"/>
    <w:uiPriority w:val="9"/>
    <w:rsid w:val="00064674"/>
    <w:rPr>
      <w:rFonts w:ascii="Calibri Light" w:eastAsia="Times New Roman" w:hAnsi="Calibri Light"/>
      <w:sz w:val="24"/>
      <w:szCs w:val="24"/>
    </w:rPr>
  </w:style>
  <w:style w:type="character" w:customStyle="1" w:styleId="Heading4Char">
    <w:name w:val="Heading 4 Char"/>
    <w:link w:val="Heading4"/>
    <w:uiPriority w:val="9"/>
    <w:rsid w:val="007F55F6"/>
    <w:rPr>
      <w:rFonts w:ascii="Calibri Light" w:eastAsia="Times New Roman" w:hAnsi="Calibri Light"/>
      <w:i/>
      <w:iCs/>
      <w:color w:val="2E74B5"/>
      <w:sz w:val="22"/>
      <w:szCs w:val="22"/>
    </w:rPr>
  </w:style>
  <w:style w:type="character" w:customStyle="1" w:styleId="Heading5Char">
    <w:name w:val="Heading 5 Char"/>
    <w:link w:val="Heading5"/>
    <w:uiPriority w:val="9"/>
    <w:rsid w:val="007F55F6"/>
    <w:rPr>
      <w:rFonts w:ascii="Calibri Light" w:eastAsia="Times New Roman" w:hAnsi="Calibri Light"/>
      <w:color w:val="2E74B5"/>
      <w:sz w:val="22"/>
      <w:szCs w:val="22"/>
    </w:rPr>
  </w:style>
  <w:style w:type="character" w:customStyle="1" w:styleId="Heading6Char">
    <w:name w:val="Heading 6 Char"/>
    <w:link w:val="Heading6"/>
    <w:uiPriority w:val="9"/>
    <w:rsid w:val="002C2EA0"/>
    <w:rPr>
      <w:rFonts w:ascii="Calibri Light" w:eastAsia="Times New Roman" w:hAnsi="Calibri Light"/>
      <w:color w:val="1F4D78"/>
      <w:sz w:val="22"/>
      <w:szCs w:val="22"/>
    </w:rPr>
  </w:style>
  <w:style w:type="character" w:customStyle="1" w:styleId="Heading7Char">
    <w:name w:val="Heading 7 Char"/>
    <w:link w:val="Heading7"/>
    <w:uiPriority w:val="9"/>
    <w:rsid w:val="002C2EA0"/>
    <w:rPr>
      <w:rFonts w:ascii="Calibri Light" w:eastAsia="Times New Roman" w:hAnsi="Calibri Light"/>
      <w:i/>
      <w:iCs/>
      <w:color w:val="1F4D78"/>
      <w:sz w:val="22"/>
      <w:szCs w:val="22"/>
    </w:rPr>
  </w:style>
  <w:style w:type="character" w:customStyle="1" w:styleId="Heading8Char">
    <w:name w:val="Heading 8 Char"/>
    <w:link w:val="Heading8"/>
    <w:uiPriority w:val="9"/>
    <w:semiHidden/>
    <w:rsid w:val="002C2EA0"/>
    <w:rPr>
      <w:rFonts w:ascii="Calibri Light" w:eastAsia="Times New Roman" w:hAnsi="Calibri Light"/>
      <w:color w:val="272727"/>
      <w:sz w:val="21"/>
      <w:szCs w:val="21"/>
    </w:rPr>
  </w:style>
  <w:style w:type="character" w:customStyle="1" w:styleId="Heading9Char">
    <w:name w:val="Heading 9 Char"/>
    <w:link w:val="Heading9"/>
    <w:uiPriority w:val="9"/>
    <w:semiHidden/>
    <w:rsid w:val="002C2EA0"/>
    <w:rPr>
      <w:rFonts w:ascii="Calibri Light" w:eastAsia="Times New Roman" w:hAnsi="Calibri Light"/>
      <w:i/>
      <w:iCs/>
      <w:color w:val="272727"/>
      <w:sz w:val="21"/>
      <w:szCs w:val="21"/>
    </w:rPr>
  </w:style>
  <w:style w:type="paragraph" w:styleId="Title">
    <w:name w:val="Title"/>
    <w:basedOn w:val="Normal"/>
    <w:next w:val="Normal"/>
    <w:link w:val="TitleChar"/>
    <w:uiPriority w:val="10"/>
    <w:qFormat/>
    <w:rsid w:val="002C2EA0"/>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leChar">
    <w:name w:val="Title Char"/>
    <w:link w:val="Title"/>
    <w:uiPriority w:val="10"/>
    <w:rsid w:val="002C2EA0"/>
    <w:rPr>
      <w:rFonts w:ascii="Calibri Light" w:eastAsia="Times New Roman" w:hAnsi="Calibri Light" w:cs="Times New Roman"/>
      <w:spacing w:val="-10"/>
      <w:kern w:val="28"/>
      <w:sz w:val="56"/>
      <w:szCs w:val="56"/>
    </w:rPr>
  </w:style>
  <w:style w:type="paragraph" w:styleId="ListParagraph">
    <w:name w:val="List Paragraph"/>
    <w:basedOn w:val="Normal"/>
    <w:uiPriority w:val="34"/>
    <w:qFormat/>
    <w:rsid w:val="002C2EA0"/>
    <w:pPr>
      <w:ind w:left="720"/>
      <w:contextualSpacing/>
    </w:pPr>
  </w:style>
  <w:style w:type="paragraph" w:styleId="NoSpacing">
    <w:name w:val="No Spacing"/>
    <w:uiPriority w:val="1"/>
    <w:qFormat/>
    <w:rsid w:val="00235079"/>
    <w:rPr>
      <w:sz w:val="22"/>
      <w:szCs w:val="22"/>
    </w:rPr>
  </w:style>
  <w:style w:type="paragraph" w:styleId="Header">
    <w:name w:val="header"/>
    <w:basedOn w:val="Normal"/>
    <w:link w:val="HeaderChar"/>
    <w:uiPriority w:val="99"/>
    <w:unhideWhenUsed/>
    <w:rsid w:val="00475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690"/>
  </w:style>
  <w:style w:type="paragraph" w:styleId="Footer">
    <w:name w:val="footer"/>
    <w:basedOn w:val="Normal"/>
    <w:link w:val="FooterChar"/>
    <w:uiPriority w:val="99"/>
    <w:unhideWhenUsed/>
    <w:rsid w:val="00475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690"/>
  </w:style>
  <w:style w:type="character" w:styleId="CommentReference">
    <w:name w:val="annotation reference"/>
    <w:uiPriority w:val="99"/>
    <w:semiHidden/>
    <w:unhideWhenUsed/>
    <w:rsid w:val="00863463"/>
    <w:rPr>
      <w:sz w:val="16"/>
      <w:szCs w:val="16"/>
    </w:rPr>
  </w:style>
  <w:style w:type="paragraph" w:styleId="CommentText">
    <w:name w:val="annotation text"/>
    <w:basedOn w:val="Normal"/>
    <w:link w:val="CommentTextChar"/>
    <w:uiPriority w:val="99"/>
    <w:unhideWhenUsed/>
    <w:rsid w:val="00863463"/>
    <w:pPr>
      <w:spacing w:line="240" w:lineRule="auto"/>
    </w:pPr>
    <w:rPr>
      <w:sz w:val="20"/>
      <w:szCs w:val="20"/>
      <w:lang w:val="x-none" w:eastAsia="x-none"/>
    </w:rPr>
  </w:style>
  <w:style w:type="character" w:customStyle="1" w:styleId="CommentTextChar">
    <w:name w:val="Comment Text Char"/>
    <w:link w:val="CommentText"/>
    <w:uiPriority w:val="99"/>
    <w:rsid w:val="00863463"/>
    <w:rPr>
      <w:sz w:val="20"/>
      <w:szCs w:val="20"/>
    </w:rPr>
  </w:style>
  <w:style w:type="paragraph" w:styleId="CommentSubject">
    <w:name w:val="annotation subject"/>
    <w:basedOn w:val="CommentText"/>
    <w:next w:val="CommentText"/>
    <w:link w:val="CommentSubjectChar"/>
    <w:uiPriority w:val="99"/>
    <w:semiHidden/>
    <w:unhideWhenUsed/>
    <w:rsid w:val="00863463"/>
    <w:rPr>
      <w:b/>
      <w:bCs/>
    </w:rPr>
  </w:style>
  <w:style w:type="character" w:customStyle="1" w:styleId="CommentSubjectChar">
    <w:name w:val="Comment Subject Char"/>
    <w:link w:val="CommentSubject"/>
    <w:uiPriority w:val="99"/>
    <w:semiHidden/>
    <w:rsid w:val="00863463"/>
    <w:rPr>
      <w:b/>
      <w:bCs/>
      <w:sz w:val="20"/>
      <w:szCs w:val="20"/>
    </w:rPr>
  </w:style>
  <w:style w:type="paragraph" w:styleId="Revision">
    <w:name w:val="Revision"/>
    <w:hidden/>
    <w:uiPriority w:val="99"/>
    <w:semiHidden/>
    <w:rsid w:val="00863463"/>
    <w:rPr>
      <w:sz w:val="22"/>
      <w:szCs w:val="22"/>
    </w:rPr>
  </w:style>
  <w:style w:type="paragraph" w:styleId="BalloonText">
    <w:name w:val="Balloon Text"/>
    <w:basedOn w:val="Normal"/>
    <w:link w:val="BalloonTextChar"/>
    <w:uiPriority w:val="99"/>
    <w:semiHidden/>
    <w:unhideWhenUsed/>
    <w:rsid w:val="00863463"/>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863463"/>
    <w:rPr>
      <w:rFonts w:ascii="Segoe UI" w:hAnsi="Segoe UI" w:cs="Segoe UI"/>
      <w:sz w:val="18"/>
      <w:szCs w:val="18"/>
    </w:rPr>
  </w:style>
  <w:style w:type="paragraph" w:styleId="Caption">
    <w:name w:val="caption"/>
    <w:basedOn w:val="Normal"/>
    <w:next w:val="Normal"/>
    <w:uiPriority w:val="35"/>
    <w:unhideWhenUsed/>
    <w:qFormat/>
    <w:rsid w:val="00584FBA"/>
    <w:pPr>
      <w:spacing w:after="200" w:line="240" w:lineRule="auto"/>
    </w:pPr>
    <w:rPr>
      <w:i/>
      <w:iCs/>
      <w:color w:val="44546A"/>
      <w:sz w:val="18"/>
      <w:szCs w:val="18"/>
    </w:rPr>
  </w:style>
  <w:style w:type="paragraph" w:styleId="FootnoteText">
    <w:name w:val="footnote text"/>
    <w:basedOn w:val="Normal"/>
    <w:link w:val="FootnoteTextChar"/>
    <w:uiPriority w:val="99"/>
    <w:semiHidden/>
    <w:unhideWhenUsed/>
    <w:rsid w:val="00A237EF"/>
    <w:pPr>
      <w:spacing w:after="0" w:line="240" w:lineRule="auto"/>
    </w:pPr>
    <w:rPr>
      <w:sz w:val="20"/>
      <w:szCs w:val="20"/>
      <w:lang w:val="x-none" w:eastAsia="x-none"/>
    </w:rPr>
  </w:style>
  <w:style w:type="character" w:customStyle="1" w:styleId="FootnoteTextChar">
    <w:name w:val="Footnote Text Char"/>
    <w:link w:val="FootnoteText"/>
    <w:uiPriority w:val="99"/>
    <w:semiHidden/>
    <w:rsid w:val="00A237EF"/>
    <w:rPr>
      <w:sz w:val="20"/>
      <w:szCs w:val="20"/>
    </w:rPr>
  </w:style>
  <w:style w:type="character" w:styleId="FootnoteReference">
    <w:name w:val="footnote reference"/>
    <w:uiPriority w:val="99"/>
    <w:semiHidden/>
    <w:unhideWhenUsed/>
    <w:rsid w:val="00A237EF"/>
    <w:rPr>
      <w:vertAlign w:val="superscript"/>
    </w:rPr>
  </w:style>
  <w:style w:type="character" w:styleId="Hyperlink">
    <w:name w:val="Hyperlink"/>
    <w:uiPriority w:val="99"/>
    <w:unhideWhenUsed/>
    <w:rsid w:val="00792050"/>
    <w:rPr>
      <w:color w:val="0563C1"/>
      <w:u w:val="single"/>
    </w:rPr>
  </w:style>
  <w:style w:type="character" w:customStyle="1" w:styleId="UnresolvedMention1">
    <w:name w:val="Unresolved Mention1"/>
    <w:uiPriority w:val="99"/>
    <w:semiHidden/>
    <w:unhideWhenUsed/>
    <w:rsid w:val="00792050"/>
    <w:rPr>
      <w:color w:val="808080"/>
      <w:shd w:val="clear" w:color="auto" w:fill="E6E6E6"/>
    </w:rPr>
  </w:style>
  <w:style w:type="character" w:styleId="FollowedHyperlink">
    <w:name w:val="FollowedHyperlink"/>
    <w:uiPriority w:val="99"/>
    <w:semiHidden/>
    <w:unhideWhenUsed/>
    <w:rsid w:val="00161020"/>
    <w:rPr>
      <w:color w:val="954F72"/>
      <w:u w:val="single"/>
    </w:rPr>
  </w:style>
  <w:style w:type="table" w:styleId="TableGrid">
    <w:name w:val="Table Grid"/>
    <w:basedOn w:val="TableNormal"/>
    <w:uiPriority w:val="39"/>
    <w:rsid w:val="008A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A339D1"/>
    <w:rPr>
      <w:color w:val="808080"/>
      <w:shd w:val="clear" w:color="auto" w:fill="E6E6E6"/>
    </w:rPr>
  </w:style>
  <w:style w:type="character" w:styleId="PlaceholderText">
    <w:name w:val="Placeholder Text"/>
    <w:uiPriority w:val="99"/>
    <w:semiHidden/>
    <w:rsid w:val="00E24C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DA0"/>
    <w:pPr>
      <w:spacing w:after="160" w:line="259" w:lineRule="auto"/>
    </w:pPr>
    <w:rPr>
      <w:sz w:val="22"/>
      <w:szCs w:val="22"/>
    </w:rPr>
  </w:style>
  <w:style w:type="paragraph" w:styleId="Heading1">
    <w:name w:val="heading 1"/>
    <w:basedOn w:val="Normal"/>
    <w:next w:val="Normal"/>
    <w:link w:val="Heading1Char"/>
    <w:uiPriority w:val="9"/>
    <w:qFormat/>
    <w:rsid w:val="002C2EA0"/>
    <w:pPr>
      <w:keepNext/>
      <w:keepLines/>
      <w:numPr>
        <w:numId w:val="1"/>
      </w:numPr>
      <w:spacing w:before="240" w:after="0"/>
      <w:outlineLvl w:val="0"/>
    </w:pPr>
    <w:rPr>
      <w:rFonts w:ascii="Calibri Light" w:eastAsia="Times New Roman" w:hAnsi="Calibri Light"/>
      <w:color w:val="2E74B5"/>
      <w:sz w:val="32"/>
      <w:szCs w:val="32"/>
      <w:lang w:val="x-none" w:eastAsia="x-none"/>
    </w:rPr>
  </w:style>
  <w:style w:type="paragraph" w:styleId="Heading2">
    <w:name w:val="heading 2"/>
    <w:basedOn w:val="Normal"/>
    <w:next w:val="Normal"/>
    <w:link w:val="Heading2Char"/>
    <w:uiPriority w:val="9"/>
    <w:unhideWhenUsed/>
    <w:qFormat/>
    <w:rsid w:val="002C2EA0"/>
    <w:pPr>
      <w:keepNext/>
      <w:keepLines/>
      <w:numPr>
        <w:ilvl w:val="1"/>
        <w:numId w:val="1"/>
      </w:numPr>
      <w:spacing w:before="40" w:after="0"/>
      <w:outlineLvl w:val="1"/>
    </w:pPr>
    <w:rPr>
      <w:rFonts w:ascii="Calibri Light" w:eastAsia="Times New Roman" w:hAnsi="Calibri Light"/>
      <w:color w:val="2E74B5"/>
      <w:sz w:val="26"/>
      <w:szCs w:val="26"/>
      <w:lang w:val="x-none" w:eastAsia="x-none"/>
    </w:rPr>
  </w:style>
  <w:style w:type="paragraph" w:styleId="Heading3">
    <w:name w:val="heading 3"/>
    <w:basedOn w:val="Normal"/>
    <w:next w:val="Normal"/>
    <w:link w:val="Heading3Char"/>
    <w:uiPriority w:val="9"/>
    <w:unhideWhenUsed/>
    <w:qFormat/>
    <w:rsid w:val="00064674"/>
    <w:pPr>
      <w:keepNext/>
      <w:keepLines/>
      <w:numPr>
        <w:ilvl w:val="2"/>
        <w:numId w:val="1"/>
      </w:numPr>
      <w:spacing w:before="120" w:after="120"/>
      <w:outlineLvl w:val="2"/>
    </w:pPr>
    <w:rPr>
      <w:rFonts w:ascii="Calibri Light" w:eastAsia="Times New Roman" w:hAnsi="Calibri Light"/>
      <w:sz w:val="24"/>
      <w:szCs w:val="24"/>
      <w:lang w:val="x-none" w:eastAsia="x-none"/>
    </w:rPr>
  </w:style>
  <w:style w:type="paragraph" w:styleId="Heading4">
    <w:name w:val="heading 4"/>
    <w:basedOn w:val="Normal"/>
    <w:next w:val="Normal"/>
    <w:link w:val="Heading4Char"/>
    <w:uiPriority w:val="9"/>
    <w:unhideWhenUsed/>
    <w:qFormat/>
    <w:rsid w:val="007F55F6"/>
    <w:pPr>
      <w:keepNext/>
      <w:keepLines/>
      <w:numPr>
        <w:ilvl w:val="3"/>
        <w:numId w:val="1"/>
      </w:numPr>
      <w:spacing w:before="40" w:after="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uiPriority w:val="9"/>
    <w:unhideWhenUsed/>
    <w:qFormat/>
    <w:rsid w:val="007F55F6"/>
    <w:pPr>
      <w:keepNext/>
      <w:keepLines/>
      <w:numPr>
        <w:ilvl w:val="4"/>
        <w:numId w:val="1"/>
      </w:numPr>
      <w:spacing w:before="40" w:after="0"/>
      <w:outlineLvl w:val="4"/>
    </w:pPr>
    <w:rPr>
      <w:rFonts w:ascii="Calibri Light" w:eastAsia="Times New Roman" w:hAnsi="Calibri Light"/>
      <w:color w:val="2E74B5"/>
      <w:lang w:val="x-none" w:eastAsia="x-none"/>
    </w:rPr>
  </w:style>
  <w:style w:type="paragraph" w:styleId="Heading6">
    <w:name w:val="heading 6"/>
    <w:basedOn w:val="Normal"/>
    <w:next w:val="Normal"/>
    <w:link w:val="Heading6Char"/>
    <w:uiPriority w:val="9"/>
    <w:unhideWhenUsed/>
    <w:qFormat/>
    <w:rsid w:val="002C2EA0"/>
    <w:pPr>
      <w:keepNext/>
      <w:keepLines/>
      <w:numPr>
        <w:ilvl w:val="5"/>
        <w:numId w:val="1"/>
      </w:numPr>
      <w:spacing w:before="40" w:after="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unhideWhenUsed/>
    <w:qFormat/>
    <w:rsid w:val="002C2EA0"/>
    <w:pPr>
      <w:keepNext/>
      <w:keepLines/>
      <w:numPr>
        <w:ilvl w:val="6"/>
        <w:numId w:val="1"/>
      </w:numPr>
      <w:spacing w:before="40" w:after="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2C2EA0"/>
    <w:pPr>
      <w:keepNext/>
      <w:keepLines/>
      <w:numPr>
        <w:ilvl w:val="7"/>
        <w:numId w:val="1"/>
      </w:numPr>
      <w:spacing w:before="40" w:after="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2C2EA0"/>
    <w:pPr>
      <w:keepNext/>
      <w:keepLines/>
      <w:numPr>
        <w:ilvl w:val="8"/>
        <w:numId w:val="1"/>
      </w:numPr>
      <w:spacing w:before="40" w:after="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2EA0"/>
    <w:rPr>
      <w:rFonts w:ascii="Calibri Light" w:eastAsia="Times New Roman" w:hAnsi="Calibri Light"/>
      <w:color w:val="2E74B5"/>
      <w:sz w:val="32"/>
      <w:szCs w:val="32"/>
    </w:rPr>
  </w:style>
  <w:style w:type="character" w:customStyle="1" w:styleId="Heading2Char">
    <w:name w:val="Heading 2 Char"/>
    <w:link w:val="Heading2"/>
    <w:uiPriority w:val="9"/>
    <w:rsid w:val="002C2EA0"/>
    <w:rPr>
      <w:rFonts w:ascii="Calibri Light" w:eastAsia="Times New Roman" w:hAnsi="Calibri Light"/>
      <w:color w:val="2E74B5"/>
      <w:sz w:val="26"/>
      <w:szCs w:val="26"/>
    </w:rPr>
  </w:style>
  <w:style w:type="character" w:customStyle="1" w:styleId="Heading3Char">
    <w:name w:val="Heading 3 Char"/>
    <w:link w:val="Heading3"/>
    <w:uiPriority w:val="9"/>
    <w:rsid w:val="00064674"/>
    <w:rPr>
      <w:rFonts w:ascii="Calibri Light" w:eastAsia="Times New Roman" w:hAnsi="Calibri Light"/>
      <w:sz w:val="24"/>
      <w:szCs w:val="24"/>
    </w:rPr>
  </w:style>
  <w:style w:type="character" w:customStyle="1" w:styleId="Heading4Char">
    <w:name w:val="Heading 4 Char"/>
    <w:link w:val="Heading4"/>
    <w:uiPriority w:val="9"/>
    <w:rsid w:val="007F55F6"/>
    <w:rPr>
      <w:rFonts w:ascii="Calibri Light" w:eastAsia="Times New Roman" w:hAnsi="Calibri Light"/>
      <w:i/>
      <w:iCs/>
      <w:color w:val="2E74B5"/>
      <w:sz w:val="22"/>
      <w:szCs w:val="22"/>
    </w:rPr>
  </w:style>
  <w:style w:type="character" w:customStyle="1" w:styleId="Heading5Char">
    <w:name w:val="Heading 5 Char"/>
    <w:link w:val="Heading5"/>
    <w:uiPriority w:val="9"/>
    <w:rsid w:val="007F55F6"/>
    <w:rPr>
      <w:rFonts w:ascii="Calibri Light" w:eastAsia="Times New Roman" w:hAnsi="Calibri Light"/>
      <w:color w:val="2E74B5"/>
      <w:sz w:val="22"/>
      <w:szCs w:val="22"/>
    </w:rPr>
  </w:style>
  <w:style w:type="character" w:customStyle="1" w:styleId="Heading6Char">
    <w:name w:val="Heading 6 Char"/>
    <w:link w:val="Heading6"/>
    <w:uiPriority w:val="9"/>
    <w:rsid w:val="002C2EA0"/>
    <w:rPr>
      <w:rFonts w:ascii="Calibri Light" w:eastAsia="Times New Roman" w:hAnsi="Calibri Light"/>
      <w:color w:val="1F4D78"/>
      <w:sz w:val="22"/>
      <w:szCs w:val="22"/>
    </w:rPr>
  </w:style>
  <w:style w:type="character" w:customStyle="1" w:styleId="Heading7Char">
    <w:name w:val="Heading 7 Char"/>
    <w:link w:val="Heading7"/>
    <w:uiPriority w:val="9"/>
    <w:rsid w:val="002C2EA0"/>
    <w:rPr>
      <w:rFonts w:ascii="Calibri Light" w:eastAsia="Times New Roman" w:hAnsi="Calibri Light"/>
      <w:i/>
      <w:iCs/>
      <w:color w:val="1F4D78"/>
      <w:sz w:val="22"/>
      <w:szCs w:val="22"/>
    </w:rPr>
  </w:style>
  <w:style w:type="character" w:customStyle="1" w:styleId="Heading8Char">
    <w:name w:val="Heading 8 Char"/>
    <w:link w:val="Heading8"/>
    <w:uiPriority w:val="9"/>
    <w:semiHidden/>
    <w:rsid w:val="002C2EA0"/>
    <w:rPr>
      <w:rFonts w:ascii="Calibri Light" w:eastAsia="Times New Roman" w:hAnsi="Calibri Light"/>
      <w:color w:val="272727"/>
      <w:sz w:val="21"/>
      <w:szCs w:val="21"/>
    </w:rPr>
  </w:style>
  <w:style w:type="character" w:customStyle="1" w:styleId="Heading9Char">
    <w:name w:val="Heading 9 Char"/>
    <w:link w:val="Heading9"/>
    <w:uiPriority w:val="9"/>
    <w:semiHidden/>
    <w:rsid w:val="002C2EA0"/>
    <w:rPr>
      <w:rFonts w:ascii="Calibri Light" w:eastAsia="Times New Roman" w:hAnsi="Calibri Light"/>
      <w:i/>
      <w:iCs/>
      <w:color w:val="272727"/>
      <w:sz w:val="21"/>
      <w:szCs w:val="21"/>
    </w:rPr>
  </w:style>
  <w:style w:type="paragraph" w:styleId="Title">
    <w:name w:val="Title"/>
    <w:basedOn w:val="Normal"/>
    <w:next w:val="Normal"/>
    <w:link w:val="TitleChar"/>
    <w:uiPriority w:val="10"/>
    <w:qFormat/>
    <w:rsid w:val="002C2EA0"/>
    <w:pPr>
      <w:spacing w:after="0" w:line="240" w:lineRule="auto"/>
      <w:contextualSpacing/>
    </w:pPr>
    <w:rPr>
      <w:rFonts w:ascii="Calibri Light" w:eastAsia="Times New Roman" w:hAnsi="Calibri Light"/>
      <w:spacing w:val="-10"/>
      <w:kern w:val="28"/>
      <w:sz w:val="56"/>
      <w:szCs w:val="56"/>
      <w:lang w:val="x-none" w:eastAsia="x-none"/>
    </w:rPr>
  </w:style>
  <w:style w:type="character" w:customStyle="1" w:styleId="TitleChar">
    <w:name w:val="Title Char"/>
    <w:link w:val="Title"/>
    <w:uiPriority w:val="10"/>
    <w:rsid w:val="002C2EA0"/>
    <w:rPr>
      <w:rFonts w:ascii="Calibri Light" w:eastAsia="Times New Roman" w:hAnsi="Calibri Light" w:cs="Times New Roman"/>
      <w:spacing w:val="-10"/>
      <w:kern w:val="28"/>
      <w:sz w:val="56"/>
      <w:szCs w:val="56"/>
    </w:rPr>
  </w:style>
  <w:style w:type="paragraph" w:styleId="ListParagraph">
    <w:name w:val="List Paragraph"/>
    <w:basedOn w:val="Normal"/>
    <w:uiPriority w:val="34"/>
    <w:qFormat/>
    <w:rsid w:val="002C2EA0"/>
    <w:pPr>
      <w:ind w:left="720"/>
      <w:contextualSpacing/>
    </w:pPr>
  </w:style>
  <w:style w:type="paragraph" w:styleId="NoSpacing">
    <w:name w:val="No Spacing"/>
    <w:uiPriority w:val="1"/>
    <w:qFormat/>
    <w:rsid w:val="00235079"/>
    <w:rPr>
      <w:sz w:val="22"/>
      <w:szCs w:val="22"/>
    </w:rPr>
  </w:style>
  <w:style w:type="paragraph" w:styleId="Header">
    <w:name w:val="header"/>
    <w:basedOn w:val="Normal"/>
    <w:link w:val="HeaderChar"/>
    <w:uiPriority w:val="99"/>
    <w:unhideWhenUsed/>
    <w:rsid w:val="00475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690"/>
  </w:style>
  <w:style w:type="paragraph" w:styleId="Footer">
    <w:name w:val="footer"/>
    <w:basedOn w:val="Normal"/>
    <w:link w:val="FooterChar"/>
    <w:uiPriority w:val="99"/>
    <w:unhideWhenUsed/>
    <w:rsid w:val="00475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690"/>
  </w:style>
  <w:style w:type="character" w:styleId="CommentReference">
    <w:name w:val="annotation reference"/>
    <w:uiPriority w:val="99"/>
    <w:semiHidden/>
    <w:unhideWhenUsed/>
    <w:rsid w:val="00863463"/>
    <w:rPr>
      <w:sz w:val="16"/>
      <w:szCs w:val="16"/>
    </w:rPr>
  </w:style>
  <w:style w:type="paragraph" w:styleId="CommentText">
    <w:name w:val="annotation text"/>
    <w:basedOn w:val="Normal"/>
    <w:link w:val="CommentTextChar"/>
    <w:uiPriority w:val="99"/>
    <w:unhideWhenUsed/>
    <w:rsid w:val="00863463"/>
    <w:pPr>
      <w:spacing w:line="240" w:lineRule="auto"/>
    </w:pPr>
    <w:rPr>
      <w:sz w:val="20"/>
      <w:szCs w:val="20"/>
      <w:lang w:val="x-none" w:eastAsia="x-none"/>
    </w:rPr>
  </w:style>
  <w:style w:type="character" w:customStyle="1" w:styleId="CommentTextChar">
    <w:name w:val="Comment Text Char"/>
    <w:link w:val="CommentText"/>
    <w:uiPriority w:val="99"/>
    <w:rsid w:val="00863463"/>
    <w:rPr>
      <w:sz w:val="20"/>
      <w:szCs w:val="20"/>
    </w:rPr>
  </w:style>
  <w:style w:type="paragraph" w:styleId="CommentSubject">
    <w:name w:val="annotation subject"/>
    <w:basedOn w:val="CommentText"/>
    <w:next w:val="CommentText"/>
    <w:link w:val="CommentSubjectChar"/>
    <w:uiPriority w:val="99"/>
    <w:semiHidden/>
    <w:unhideWhenUsed/>
    <w:rsid w:val="00863463"/>
    <w:rPr>
      <w:b/>
      <w:bCs/>
    </w:rPr>
  </w:style>
  <w:style w:type="character" w:customStyle="1" w:styleId="CommentSubjectChar">
    <w:name w:val="Comment Subject Char"/>
    <w:link w:val="CommentSubject"/>
    <w:uiPriority w:val="99"/>
    <w:semiHidden/>
    <w:rsid w:val="00863463"/>
    <w:rPr>
      <w:b/>
      <w:bCs/>
      <w:sz w:val="20"/>
      <w:szCs w:val="20"/>
    </w:rPr>
  </w:style>
  <w:style w:type="paragraph" w:styleId="Revision">
    <w:name w:val="Revision"/>
    <w:hidden/>
    <w:uiPriority w:val="99"/>
    <w:semiHidden/>
    <w:rsid w:val="00863463"/>
    <w:rPr>
      <w:sz w:val="22"/>
      <w:szCs w:val="22"/>
    </w:rPr>
  </w:style>
  <w:style w:type="paragraph" w:styleId="BalloonText">
    <w:name w:val="Balloon Text"/>
    <w:basedOn w:val="Normal"/>
    <w:link w:val="BalloonTextChar"/>
    <w:uiPriority w:val="99"/>
    <w:semiHidden/>
    <w:unhideWhenUsed/>
    <w:rsid w:val="00863463"/>
    <w:pPr>
      <w:spacing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863463"/>
    <w:rPr>
      <w:rFonts w:ascii="Segoe UI" w:hAnsi="Segoe UI" w:cs="Segoe UI"/>
      <w:sz w:val="18"/>
      <w:szCs w:val="18"/>
    </w:rPr>
  </w:style>
  <w:style w:type="paragraph" w:styleId="Caption">
    <w:name w:val="caption"/>
    <w:basedOn w:val="Normal"/>
    <w:next w:val="Normal"/>
    <w:uiPriority w:val="35"/>
    <w:unhideWhenUsed/>
    <w:qFormat/>
    <w:rsid w:val="00584FBA"/>
    <w:pPr>
      <w:spacing w:after="200" w:line="240" w:lineRule="auto"/>
    </w:pPr>
    <w:rPr>
      <w:i/>
      <w:iCs/>
      <w:color w:val="44546A"/>
      <w:sz w:val="18"/>
      <w:szCs w:val="18"/>
    </w:rPr>
  </w:style>
  <w:style w:type="paragraph" w:styleId="FootnoteText">
    <w:name w:val="footnote text"/>
    <w:basedOn w:val="Normal"/>
    <w:link w:val="FootnoteTextChar"/>
    <w:uiPriority w:val="99"/>
    <w:semiHidden/>
    <w:unhideWhenUsed/>
    <w:rsid w:val="00A237EF"/>
    <w:pPr>
      <w:spacing w:after="0" w:line="240" w:lineRule="auto"/>
    </w:pPr>
    <w:rPr>
      <w:sz w:val="20"/>
      <w:szCs w:val="20"/>
      <w:lang w:val="x-none" w:eastAsia="x-none"/>
    </w:rPr>
  </w:style>
  <w:style w:type="character" w:customStyle="1" w:styleId="FootnoteTextChar">
    <w:name w:val="Footnote Text Char"/>
    <w:link w:val="FootnoteText"/>
    <w:uiPriority w:val="99"/>
    <w:semiHidden/>
    <w:rsid w:val="00A237EF"/>
    <w:rPr>
      <w:sz w:val="20"/>
      <w:szCs w:val="20"/>
    </w:rPr>
  </w:style>
  <w:style w:type="character" w:styleId="FootnoteReference">
    <w:name w:val="footnote reference"/>
    <w:uiPriority w:val="99"/>
    <w:semiHidden/>
    <w:unhideWhenUsed/>
    <w:rsid w:val="00A237EF"/>
    <w:rPr>
      <w:vertAlign w:val="superscript"/>
    </w:rPr>
  </w:style>
  <w:style w:type="character" w:styleId="Hyperlink">
    <w:name w:val="Hyperlink"/>
    <w:uiPriority w:val="99"/>
    <w:unhideWhenUsed/>
    <w:rsid w:val="00792050"/>
    <w:rPr>
      <w:color w:val="0563C1"/>
      <w:u w:val="single"/>
    </w:rPr>
  </w:style>
  <w:style w:type="character" w:customStyle="1" w:styleId="UnresolvedMention1">
    <w:name w:val="Unresolved Mention1"/>
    <w:uiPriority w:val="99"/>
    <w:semiHidden/>
    <w:unhideWhenUsed/>
    <w:rsid w:val="00792050"/>
    <w:rPr>
      <w:color w:val="808080"/>
      <w:shd w:val="clear" w:color="auto" w:fill="E6E6E6"/>
    </w:rPr>
  </w:style>
  <w:style w:type="character" w:styleId="FollowedHyperlink">
    <w:name w:val="FollowedHyperlink"/>
    <w:uiPriority w:val="99"/>
    <w:semiHidden/>
    <w:unhideWhenUsed/>
    <w:rsid w:val="00161020"/>
    <w:rPr>
      <w:color w:val="954F72"/>
      <w:u w:val="single"/>
    </w:rPr>
  </w:style>
  <w:style w:type="table" w:styleId="TableGrid">
    <w:name w:val="Table Grid"/>
    <w:basedOn w:val="TableNormal"/>
    <w:uiPriority w:val="39"/>
    <w:rsid w:val="008A7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A339D1"/>
    <w:rPr>
      <w:color w:val="808080"/>
      <w:shd w:val="clear" w:color="auto" w:fill="E6E6E6"/>
    </w:rPr>
  </w:style>
  <w:style w:type="character" w:styleId="PlaceholderText">
    <w:name w:val="Placeholder Text"/>
    <w:uiPriority w:val="99"/>
    <w:semiHidden/>
    <w:rsid w:val="00E24C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329">
      <w:bodyDiv w:val="1"/>
      <w:marLeft w:val="0"/>
      <w:marRight w:val="0"/>
      <w:marTop w:val="0"/>
      <w:marBottom w:val="0"/>
      <w:divBdr>
        <w:top w:val="none" w:sz="0" w:space="0" w:color="auto"/>
        <w:left w:val="none" w:sz="0" w:space="0" w:color="auto"/>
        <w:bottom w:val="none" w:sz="0" w:space="0" w:color="auto"/>
        <w:right w:val="none" w:sz="0" w:space="0" w:color="auto"/>
      </w:divBdr>
    </w:div>
    <w:div w:id="83454053">
      <w:bodyDiv w:val="1"/>
      <w:marLeft w:val="0"/>
      <w:marRight w:val="0"/>
      <w:marTop w:val="0"/>
      <w:marBottom w:val="0"/>
      <w:divBdr>
        <w:top w:val="none" w:sz="0" w:space="0" w:color="auto"/>
        <w:left w:val="none" w:sz="0" w:space="0" w:color="auto"/>
        <w:bottom w:val="none" w:sz="0" w:space="0" w:color="auto"/>
        <w:right w:val="none" w:sz="0" w:space="0" w:color="auto"/>
      </w:divBdr>
    </w:div>
    <w:div w:id="114298580">
      <w:bodyDiv w:val="1"/>
      <w:marLeft w:val="0"/>
      <w:marRight w:val="0"/>
      <w:marTop w:val="0"/>
      <w:marBottom w:val="0"/>
      <w:divBdr>
        <w:top w:val="none" w:sz="0" w:space="0" w:color="auto"/>
        <w:left w:val="none" w:sz="0" w:space="0" w:color="auto"/>
        <w:bottom w:val="none" w:sz="0" w:space="0" w:color="auto"/>
        <w:right w:val="none" w:sz="0" w:space="0" w:color="auto"/>
      </w:divBdr>
    </w:div>
    <w:div w:id="186649607">
      <w:bodyDiv w:val="1"/>
      <w:marLeft w:val="0"/>
      <w:marRight w:val="0"/>
      <w:marTop w:val="0"/>
      <w:marBottom w:val="0"/>
      <w:divBdr>
        <w:top w:val="none" w:sz="0" w:space="0" w:color="auto"/>
        <w:left w:val="none" w:sz="0" w:space="0" w:color="auto"/>
        <w:bottom w:val="none" w:sz="0" w:space="0" w:color="auto"/>
        <w:right w:val="none" w:sz="0" w:space="0" w:color="auto"/>
      </w:divBdr>
    </w:div>
    <w:div w:id="265236969">
      <w:bodyDiv w:val="1"/>
      <w:marLeft w:val="0"/>
      <w:marRight w:val="0"/>
      <w:marTop w:val="0"/>
      <w:marBottom w:val="0"/>
      <w:divBdr>
        <w:top w:val="none" w:sz="0" w:space="0" w:color="auto"/>
        <w:left w:val="none" w:sz="0" w:space="0" w:color="auto"/>
        <w:bottom w:val="none" w:sz="0" w:space="0" w:color="auto"/>
        <w:right w:val="none" w:sz="0" w:space="0" w:color="auto"/>
      </w:divBdr>
    </w:div>
    <w:div w:id="395402088">
      <w:bodyDiv w:val="1"/>
      <w:marLeft w:val="0"/>
      <w:marRight w:val="0"/>
      <w:marTop w:val="0"/>
      <w:marBottom w:val="0"/>
      <w:divBdr>
        <w:top w:val="none" w:sz="0" w:space="0" w:color="auto"/>
        <w:left w:val="none" w:sz="0" w:space="0" w:color="auto"/>
        <w:bottom w:val="none" w:sz="0" w:space="0" w:color="auto"/>
        <w:right w:val="none" w:sz="0" w:space="0" w:color="auto"/>
      </w:divBdr>
    </w:div>
    <w:div w:id="404229649">
      <w:bodyDiv w:val="1"/>
      <w:marLeft w:val="0"/>
      <w:marRight w:val="0"/>
      <w:marTop w:val="0"/>
      <w:marBottom w:val="0"/>
      <w:divBdr>
        <w:top w:val="none" w:sz="0" w:space="0" w:color="auto"/>
        <w:left w:val="none" w:sz="0" w:space="0" w:color="auto"/>
        <w:bottom w:val="none" w:sz="0" w:space="0" w:color="auto"/>
        <w:right w:val="none" w:sz="0" w:space="0" w:color="auto"/>
      </w:divBdr>
    </w:div>
    <w:div w:id="445082777">
      <w:bodyDiv w:val="1"/>
      <w:marLeft w:val="0"/>
      <w:marRight w:val="0"/>
      <w:marTop w:val="0"/>
      <w:marBottom w:val="0"/>
      <w:divBdr>
        <w:top w:val="none" w:sz="0" w:space="0" w:color="auto"/>
        <w:left w:val="none" w:sz="0" w:space="0" w:color="auto"/>
        <w:bottom w:val="none" w:sz="0" w:space="0" w:color="auto"/>
        <w:right w:val="none" w:sz="0" w:space="0" w:color="auto"/>
      </w:divBdr>
    </w:div>
    <w:div w:id="452678081">
      <w:bodyDiv w:val="1"/>
      <w:marLeft w:val="0"/>
      <w:marRight w:val="0"/>
      <w:marTop w:val="0"/>
      <w:marBottom w:val="0"/>
      <w:divBdr>
        <w:top w:val="none" w:sz="0" w:space="0" w:color="auto"/>
        <w:left w:val="none" w:sz="0" w:space="0" w:color="auto"/>
        <w:bottom w:val="none" w:sz="0" w:space="0" w:color="auto"/>
        <w:right w:val="none" w:sz="0" w:space="0" w:color="auto"/>
      </w:divBdr>
    </w:div>
    <w:div w:id="707410210">
      <w:bodyDiv w:val="1"/>
      <w:marLeft w:val="0"/>
      <w:marRight w:val="0"/>
      <w:marTop w:val="0"/>
      <w:marBottom w:val="0"/>
      <w:divBdr>
        <w:top w:val="none" w:sz="0" w:space="0" w:color="auto"/>
        <w:left w:val="none" w:sz="0" w:space="0" w:color="auto"/>
        <w:bottom w:val="none" w:sz="0" w:space="0" w:color="auto"/>
        <w:right w:val="none" w:sz="0" w:space="0" w:color="auto"/>
      </w:divBdr>
    </w:div>
    <w:div w:id="754323996">
      <w:bodyDiv w:val="1"/>
      <w:marLeft w:val="0"/>
      <w:marRight w:val="0"/>
      <w:marTop w:val="0"/>
      <w:marBottom w:val="0"/>
      <w:divBdr>
        <w:top w:val="none" w:sz="0" w:space="0" w:color="auto"/>
        <w:left w:val="none" w:sz="0" w:space="0" w:color="auto"/>
        <w:bottom w:val="none" w:sz="0" w:space="0" w:color="auto"/>
        <w:right w:val="none" w:sz="0" w:space="0" w:color="auto"/>
      </w:divBdr>
    </w:div>
    <w:div w:id="779493391">
      <w:bodyDiv w:val="1"/>
      <w:marLeft w:val="0"/>
      <w:marRight w:val="0"/>
      <w:marTop w:val="0"/>
      <w:marBottom w:val="0"/>
      <w:divBdr>
        <w:top w:val="none" w:sz="0" w:space="0" w:color="auto"/>
        <w:left w:val="none" w:sz="0" w:space="0" w:color="auto"/>
        <w:bottom w:val="none" w:sz="0" w:space="0" w:color="auto"/>
        <w:right w:val="none" w:sz="0" w:space="0" w:color="auto"/>
      </w:divBdr>
    </w:div>
    <w:div w:id="810098492">
      <w:bodyDiv w:val="1"/>
      <w:marLeft w:val="0"/>
      <w:marRight w:val="0"/>
      <w:marTop w:val="0"/>
      <w:marBottom w:val="0"/>
      <w:divBdr>
        <w:top w:val="none" w:sz="0" w:space="0" w:color="auto"/>
        <w:left w:val="none" w:sz="0" w:space="0" w:color="auto"/>
        <w:bottom w:val="none" w:sz="0" w:space="0" w:color="auto"/>
        <w:right w:val="none" w:sz="0" w:space="0" w:color="auto"/>
      </w:divBdr>
    </w:div>
    <w:div w:id="836657120">
      <w:bodyDiv w:val="1"/>
      <w:marLeft w:val="0"/>
      <w:marRight w:val="0"/>
      <w:marTop w:val="0"/>
      <w:marBottom w:val="0"/>
      <w:divBdr>
        <w:top w:val="none" w:sz="0" w:space="0" w:color="auto"/>
        <w:left w:val="none" w:sz="0" w:space="0" w:color="auto"/>
        <w:bottom w:val="none" w:sz="0" w:space="0" w:color="auto"/>
        <w:right w:val="none" w:sz="0" w:space="0" w:color="auto"/>
      </w:divBdr>
    </w:div>
    <w:div w:id="896090752">
      <w:bodyDiv w:val="1"/>
      <w:marLeft w:val="0"/>
      <w:marRight w:val="0"/>
      <w:marTop w:val="0"/>
      <w:marBottom w:val="0"/>
      <w:divBdr>
        <w:top w:val="none" w:sz="0" w:space="0" w:color="auto"/>
        <w:left w:val="none" w:sz="0" w:space="0" w:color="auto"/>
        <w:bottom w:val="none" w:sz="0" w:space="0" w:color="auto"/>
        <w:right w:val="none" w:sz="0" w:space="0" w:color="auto"/>
      </w:divBdr>
    </w:div>
    <w:div w:id="914703261">
      <w:bodyDiv w:val="1"/>
      <w:marLeft w:val="0"/>
      <w:marRight w:val="0"/>
      <w:marTop w:val="0"/>
      <w:marBottom w:val="0"/>
      <w:divBdr>
        <w:top w:val="none" w:sz="0" w:space="0" w:color="auto"/>
        <w:left w:val="none" w:sz="0" w:space="0" w:color="auto"/>
        <w:bottom w:val="none" w:sz="0" w:space="0" w:color="auto"/>
        <w:right w:val="none" w:sz="0" w:space="0" w:color="auto"/>
      </w:divBdr>
    </w:div>
    <w:div w:id="935479331">
      <w:bodyDiv w:val="1"/>
      <w:marLeft w:val="0"/>
      <w:marRight w:val="0"/>
      <w:marTop w:val="0"/>
      <w:marBottom w:val="0"/>
      <w:divBdr>
        <w:top w:val="none" w:sz="0" w:space="0" w:color="auto"/>
        <w:left w:val="none" w:sz="0" w:space="0" w:color="auto"/>
        <w:bottom w:val="none" w:sz="0" w:space="0" w:color="auto"/>
        <w:right w:val="none" w:sz="0" w:space="0" w:color="auto"/>
      </w:divBdr>
    </w:div>
    <w:div w:id="1007320300">
      <w:bodyDiv w:val="1"/>
      <w:marLeft w:val="0"/>
      <w:marRight w:val="0"/>
      <w:marTop w:val="0"/>
      <w:marBottom w:val="0"/>
      <w:divBdr>
        <w:top w:val="none" w:sz="0" w:space="0" w:color="auto"/>
        <w:left w:val="none" w:sz="0" w:space="0" w:color="auto"/>
        <w:bottom w:val="none" w:sz="0" w:space="0" w:color="auto"/>
        <w:right w:val="none" w:sz="0" w:space="0" w:color="auto"/>
      </w:divBdr>
    </w:div>
    <w:div w:id="1056202440">
      <w:bodyDiv w:val="1"/>
      <w:marLeft w:val="0"/>
      <w:marRight w:val="0"/>
      <w:marTop w:val="0"/>
      <w:marBottom w:val="0"/>
      <w:divBdr>
        <w:top w:val="none" w:sz="0" w:space="0" w:color="auto"/>
        <w:left w:val="none" w:sz="0" w:space="0" w:color="auto"/>
        <w:bottom w:val="none" w:sz="0" w:space="0" w:color="auto"/>
        <w:right w:val="none" w:sz="0" w:space="0" w:color="auto"/>
      </w:divBdr>
    </w:div>
    <w:div w:id="1085106928">
      <w:bodyDiv w:val="1"/>
      <w:marLeft w:val="0"/>
      <w:marRight w:val="0"/>
      <w:marTop w:val="0"/>
      <w:marBottom w:val="0"/>
      <w:divBdr>
        <w:top w:val="none" w:sz="0" w:space="0" w:color="auto"/>
        <w:left w:val="none" w:sz="0" w:space="0" w:color="auto"/>
        <w:bottom w:val="none" w:sz="0" w:space="0" w:color="auto"/>
        <w:right w:val="none" w:sz="0" w:space="0" w:color="auto"/>
      </w:divBdr>
    </w:div>
    <w:div w:id="1128544856">
      <w:bodyDiv w:val="1"/>
      <w:marLeft w:val="0"/>
      <w:marRight w:val="0"/>
      <w:marTop w:val="0"/>
      <w:marBottom w:val="0"/>
      <w:divBdr>
        <w:top w:val="none" w:sz="0" w:space="0" w:color="auto"/>
        <w:left w:val="none" w:sz="0" w:space="0" w:color="auto"/>
        <w:bottom w:val="none" w:sz="0" w:space="0" w:color="auto"/>
        <w:right w:val="none" w:sz="0" w:space="0" w:color="auto"/>
      </w:divBdr>
    </w:div>
    <w:div w:id="1130783088">
      <w:bodyDiv w:val="1"/>
      <w:marLeft w:val="0"/>
      <w:marRight w:val="0"/>
      <w:marTop w:val="0"/>
      <w:marBottom w:val="0"/>
      <w:divBdr>
        <w:top w:val="none" w:sz="0" w:space="0" w:color="auto"/>
        <w:left w:val="none" w:sz="0" w:space="0" w:color="auto"/>
        <w:bottom w:val="none" w:sz="0" w:space="0" w:color="auto"/>
        <w:right w:val="none" w:sz="0" w:space="0" w:color="auto"/>
      </w:divBdr>
    </w:div>
    <w:div w:id="1227034536">
      <w:bodyDiv w:val="1"/>
      <w:marLeft w:val="0"/>
      <w:marRight w:val="0"/>
      <w:marTop w:val="0"/>
      <w:marBottom w:val="0"/>
      <w:divBdr>
        <w:top w:val="none" w:sz="0" w:space="0" w:color="auto"/>
        <w:left w:val="none" w:sz="0" w:space="0" w:color="auto"/>
        <w:bottom w:val="none" w:sz="0" w:space="0" w:color="auto"/>
        <w:right w:val="none" w:sz="0" w:space="0" w:color="auto"/>
      </w:divBdr>
    </w:div>
    <w:div w:id="1233152709">
      <w:bodyDiv w:val="1"/>
      <w:marLeft w:val="0"/>
      <w:marRight w:val="0"/>
      <w:marTop w:val="0"/>
      <w:marBottom w:val="0"/>
      <w:divBdr>
        <w:top w:val="none" w:sz="0" w:space="0" w:color="auto"/>
        <w:left w:val="none" w:sz="0" w:space="0" w:color="auto"/>
        <w:bottom w:val="none" w:sz="0" w:space="0" w:color="auto"/>
        <w:right w:val="none" w:sz="0" w:space="0" w:color="auto"/>
      </w:divBdr>
    </w:div>
    <w:div w:id="1248612918">
      <w:bodyDiv w:val="1"/>
      <w:marLeft w:val="0"/>
      <w:marRight w:val="0"/>
      <w:marTop w:val="0"/>
      <w:marBottom w:val="0"/>
      <w:divBdr>
        <w:top w:val="none" w:sz="0" w:space="0" w:color="auto"/>
        <w:left w:val="none" w:sz="0" w:space="0" w:color="auto"/>
        <w:bottom w:val="none" w:sz="0" w:space="0" w:color="auto"/>
        <w:right w:val="none" w:sz="0" w:space="0" w:color="auto"/>
      </w:divBdr>
    </w:div>
    <w:div w:id="1265765219">
      <w:bodyDiv w:val="1"/>
      <w:marLeft w:val="0"/>
      <w:marRight w:val="0"/>
      <w:marTop w:val="0"/>
      <w:marBottom w:val="0"/>
      <w:divBdr>
        <w:top w:val="none" w:sz="0" w:space="0" w:color="auto"/>
        <w:left w:val="none" w:sz="0" w:space="0" w:color="auto"/>
        <w:bottom w:val="none" w:sz="0" w:space="0" w:color="auto"/>
        <w:right w:val="none" w:sz="0" w:space="0" w:color="auto"/>
      </w:divBdr>
    </w:div>
    <w:div w:id="1366902123">
      <w:bodyDiv w:val="1"/>
      <w:marLeft w:val="0"/>
      <w:marRight w:val="0"/>
      <w:marTop w:val="0"/>
      <w:marBottom w:val="0"/>
      <w:divBdr>
        <w:top w:val="none" w:sz="0" w:space="0" w:color="auto"/>
        <w:left w:val="none" w:sz="0" w:space="0" w:color="auto"/>
        <w:bottom w:val="none" w:sz="0" w:space="0" w:color="auto"/>
        <w:right w:val="none" w:sz="0" w:space="0" w:color="auto"/>
      </w:divBdr>
    </w:div>
    <w:div w:id="1405950307">
      <w:bodyDiv w:val="1"/>
      <w:marLeft w:val="0"/>
      <w:marRight w:val="0"/>
      <w:marTop w:val="0"/>
      <w:marBottom w:val="0"/>
      <w:divBdr>
        <w:top w:val="none" w:sz="0" w:space="0" w:color="auto"/>
        <w:left w:val="none" w:sz="0" w:space="0" w:color="auto"/>
        <w:bottom w:val="none" w:sz="0" w:space="0" w:color="auto"/>
        <w:right w:val="none" w:sz="0" w:space="0" w:color="auto"/>
      </w:divBdr>
    </w:div>
    <w:div w:id="1490633227">
      <w:bodyDiv w:val="1"/>
      <w:marLeft w:val="0"/>
      <w:marRight w:val="0"/>
      <w:marTop w:val="0"/>
      <w:marBottom w:val="0"/>
      <w:divBdr>
        <w:top w:val="none" w:sz="0" w:space="0" w:color="auto"/>
        <w:left w:val="none" w:sz="0" w:space="0" w:color="auto"/>
        <w:bottom w:val="none" w:sz="0" w:space="0" w:color="auto"/>
        <w:right w:val="none" w:sz="0" w:space="0" w:color="auto"/>
      </w:divBdr>
    </w:div>
    <w:div w:id="1500080475">
      <w:bodyDiv w:val="1"/>
      <w:marLeft w:val="0"/>
      <w:marRight w:val="0"/>
      <w:marTop w:val="0"/>
      <w:marBottom w:val="0"/>
      <w:divBdr>
        <w:top w:val="none" w:sz="0" w:space="0" w:color="auto"/>
        <w:left w:val="none" w:sz="0" w:space="0" w:color="auto"/>
        <w:bottom w:val="none" w:sz="0" w:space="0" w:color="auto"/>
        <w:right w:val="none" w:sz="0" w:space="0" w:color="auto"/>
      </w:divBdr>
    </w:div>
    <w:div w:id="1610046079">
      <w:bodyDiv w:val="1"/>
      <w:marLeft w:val="0"/>
      <w:marRight w:val="0"/>
      <w:marTop w:val="0"/>
      <w:marBottom w:val="0"/>
      <w:divBdr>
        <w:top w:val="none" w:sz="0" w:space="0" w:color="auto"/>
        <w:left w:val="none" w:sz="0" w:space="0" w:color="auto"/>
        <w:bottom w:val="none" w:sz="0" w:space="0" w:color="auto"/>
        <w:right w:val="none" w:sz="0" w:space="0" w:color="auto"/>
      </w:divBdr>
    </w:div>
    <w:div w:id="1620602798">
      <w:bodyDiv w:val="1"/>
      <w:marLeft w:val="0"/>
      <w:marRight w:val="0"/>
      <w:marTop w:val="0"/>
      <w:marBottom w:val="0"/>
      <w:divBdr>
        <w:top w:val="none" w:sz="0" w:space="0" w:color="auto"/>
        <w:left w:val="none" w:sz="0" w:space="0" w:color="auto"/>
        <w:bottom w:val="none" w:sz="0" w:space="0" w:color="auto"/>
        <w:right w:val="none" w:sz="0" w:space="0" w:color="auto"/>
      </w:divBdr>
    </w:div>
    <w:div w:id="1661814983">
      <w:bodyDiv w:val="1"/>
      <w:marLeft w:val="0"/>
      <w:marRight w:val="0"/>
      <w:marTop w:val="0"/>
      <w:marBottom w:val="0"/>
      <w:divBdr>
        <w:top w:val="none" w:sz="0" w:space="0" w:color="auto"/>
        <w:left w:val="none" w:sz="0" w:space="0" w:color="auto"/>
        <w:bottom w:val="none" w:sz="0" w:space="0" w:color="auto"/>
        <w:right w:val="none" w:sz="0" w:space="0" w:color="auto"/>
      </w:divBdr>
    </w:div>
    <w:div w:id="1683047248">
      <w:bodyDiv w:val="1"/>
      <w:marLeft w:val="0"/>
      <w:marRight w:val="0"/>
      <w:marTop w:val="0"/>
      <w:marBottom w:val="0"/>
      <w:divBdr>
        <w:top w:val="none" w:sz="0" w:space="0" w:color="auto"/>
        <w:left w:val="none" w:sz="0" w:space="0" w:color="auto"/>
        <w:bottom w:val="none" w:sz="0" w:space="0" w:color="auto"/>
        <w:right w:val="none" w:sz="0" w:space="0" w:color="auto"/>
      </w:divBdr>
      <w:divsChild>
        <w:div w:id="614870956">
          <w:marLeft w:val="0"/>
          <w:marRight w:val="0"/>
          <w:marTop w:val="0"/>
          <w:marBottom w:val="0"/>
          <w:divBdr>
            <w:top w:val="none" w:sz="0" w:space="0" w:color="auto"/>
            <w:left w:val="none" w:sz="0" w:space="0" w:color="auto"/>
            <w:bottom w:val="none" w:sz="0" w:space="0" w:color="auto"/>
            <w:right w:val="none" w:sz="0" w:space="0" w:color="auto"/>
          </w:divBdr>
          <w:divsChild>
            <w:div w:id="1369178730">
              <w:marLeft w:val="225"/>
              <w:marRight w:val="225"/>
              <w:marTop w:val="375"/>
              <w:marBottom w:val="0"/>
              <w:divBdr>
                <w:top w:val="none" w:sz="0" w:space="0" w:color="auto"/>
                <w:left w:val="none" w:sz="0" w:space="0" w:color="auto"/>
                <w:bottom w:val="none" w:sz="0" w:space="0" w:color="auto"/>
                <w:right w:val="none" w:sz="0" w:space="0" w:color="auto"/>
              </w:divBdr>
              <w:divsChild>
                <w:div w:id="1377659303">
                  <w:marLeft w:val="11"/>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738088139">
      <w:bodyDiv w:val="1"/>
      <w:marLeft w:val="0"/>
      <w:marRight w:val="0"/>
      <w:marTop w:val="0"/>
      <w:marBottom w:val="0"/>
      <w:divBdr>
        <w:top w:val="none" w:sz="0" w:space="0" w:color="auto"/>
        <w:left w:val="none" w:sz="0" w:space="0" w:color="auto"/>
        <w:bottom w:val="none" w:sz="0" w:space="0" w:color="auto"/>
        <w:right w:val="none" w:sz="0" w:space="0" w:color="auto"/>
      </w:divBdr>
    </w:div>
    <w:div w:id="199382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oleObject" Target="embeddings/Microsoft_Excel_97-2003_Worksheet2.xls"/><Relationship Id="rId26" Type="http://schemas.openxmlformats.org/officeDocument/2006/relationships/image" Target="media/image9.emf"/><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3.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puc.nh.gov/Regulatory/companies-regulated-tariffs.htm" TargetMode="External"/><Relationship Id="rId17" Type="http://schemas.openxmlformats.org/officeDocument/2006/relationships/image" Target="media/image3.emf"/><Relationship Id="rId25" Type="http://schemas.openxmlformats.org/officeDocument/2006/relationships/package" Target="embeddings/Microsoft_Excel_Worksheet2.xlsx"/><Relationship Id="rId33" Type="http://schemas.openxmlformats.org/officeDocument/2006/relationships/oleObject" Target="embeddings/oleObject3.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package" Target="embeddings/Microsoft_Excel_Worksheet1.xlsx"/><Relationship Id="rId29" Type="http://schemas.openxmlformats.org/officeDocument/2006/relationships/oleObject" Target="embeddings/oleObject1.bin"/><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c.state.nh.us/Regulatory/Tariffs/Eversource-PSNH%20Tariff%20No%209.pdf"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www.puc.state.nh.us/Electric/Monitoring%20and%20Evaluation%20Reports/New%20Hampshire%20Large%20C&amp;I%20Program%20Impact%20Study%20Final%20Report.pdf" TargetMode="External"/><Relationship Id="rId40"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hyperlink" Target="https://www.eversource.com/content/nh/about/about-us/doing-business-with-us/energy-supplier-information/electric---new-Hampshire" TargetMode="External"/><Relationship Id="rId10" Type="http://schemas.openxmlformats.org/officeDocument/2006/relationships/hyperlink" Target="http://www.puc.nh.gov/EESE%20Board/EERS_Working_Groups.html" TargetMode="External"/><Relationship Id="rId19" Type="http://schemas.openxmlformats.org/officeDocument/2006/relationships/image" Target="media/image4.emf"/><Relationship Id="rId31" Type="http://schemas.openxmlformats.org/officeDocument/2006/relationships/oleObject" Target="embeddings/oleObject2.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puc.nh.gov/EESE%20Board/EERS_Working_Groups.html" TargetMode="External"/><Relationship Id="rId14" Type="http://schemas.openxmlformats.org/officeDocument/2006/relationships/hyperlink" Target="file://\\granite\shared\puc\qdrive\Electric\JIM%20CUNNINGHAM\James.J.Cunningham\AppData\Local\Microsoft\Windows\INetCache\Content.Outlook\AppData\Local\Microsoft\Windows\INetCache\Content.Outlook\AppData\Local\Microsoft\Windows\INetCache\Content.Outlook\48E1L2WG\OCA%20Draft%20Final%20LBR%20Report%20Comments%207.17.18.pdf" TargetMode="External"/><Relationship Id="rId22" Type="http://schemas.openxmlformats.org/officeDocument/2006/relationships/image" Target="media/image6.png"/><Relationship Id="rId27" Type="http://schemas.openxmlformats.org/officeDocument/2006/relationships/package" Target="embeddings/Microsoft_Excel_Worksheet3.xlsx"/><Relationship Id="rId30" Type="http://schemas.openxmlformats.org/officeDocument/2006/relationships/image" Target="media/image11.emf"/><Relationship Id="rId35" Type="http://schemas.openxmlformats.org/officeDocument/2006/relationships/package" Target="embeddings/Microsoft_Excel_Worksheet4.xlsx"/><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uc.state.nh.us/Electric/Monitoring%20and%20Evaluation%20Reports/New%20Hampshire%20Large%20C&amp;I%20Program%20Impact%20Study%20Final%20Report.pdf" TargetMode="External"/><Relationship Id="rId3" Type="http://schemas.openxmlformats.org/officeDocument/2006/relationships/hyperlink" Target="http://www.puc.state.nh.us/Electric/Monitoring%20and%20Evaluation%20Reports/New%20Hampshire%20Large%20C&amp;I%20Program%20Impact%20Study%20Final%20Report.pdf" TargetMode="External"/><Relationship Id="rId7" Type="http://schemas.openxmlformats.org/officeDocument/2006/relationships/hyperlink" Target="http://www.puc.state.nh.us/Electric/Monitoring%20and%20Evaluation%20Reports/New%20Hampshire%20Large%20C&amp;I%20Program%20Impact%20Study%20Final%20Report.pdf" TargetMode="External"/><Relationship Id="rId12" Type="http://schemas.openxmlformats.org/officeDocument/2006/relationships/hyperlink" Target="http://www.puc.state.nh.us/Electric/Monitoring%20and%20Evaluation%20Reports/New%20Hampshire%20Large%20C&amp;I%20Program%20Impact%20Study%20Final%20Report.pdf" TargetMode="External"/><Relationship Id="rId2" Type="http://schemas.openxmlformats.org/officeDocument/2006/relationships/hyperlink" Target="file://\\granite\shared\puc\qdrive\Electric\JIM%20CUNNINGHAM\James.J.Cunningham\AppData\Local\Microsoft\Windows\INetCache\Content.Outlook\AppData\Local\Microsoft\Windows\INetCache\Content.Outlook\AppData\Local\Microsoft\Electric\JIM%20CUNNINGHAM\DE%2017-136\2018%20Activities\LBR%20Working%20Group\The%20term%20is%20used%20in%20several%20contexts%20in%20the%20development%20of%20reported%20program" TargetMode="External"/><Relationship Id="rId1" Type="http://schemas.openxmlformats.org/officeDocument/2006/relationships/hyperlink" Target="http://www.puc.state.nh.us/Electric/Monitoring%20and%20Evaluation%20Reports/New%20Hampshire%20Large%20C&amp;I%20Program%20Impact%20Study%20Final%20Report.pdf" TargetMode="External"/><Relationship Id="rId6" Type="http://schemas.openxmlformats.org/officeDocument/2006/relationships/hyperlink" Target="https://www.puc.nh.gov/EESE%20Board/EERS_WG/3_15_2018_worksheet_in_utilities_lbr_homework.xls" TargetMode="External"/><Relationship Id="rId11" Type="http://schemas.openxmlformats.org/officeDocument/2006/relationships/hyperlink" Target="https://www.puc.nh.gov/Electric/96-150%20%20NH%20Energy%20Efficiency%20Working%20Group%20Final%20Report%20(1999).pdf" TargetMode="External"/><Relationship Id="rId5" Type="http://schemas.openxmlformats.org/officeDocument/2006/relationships/hyperlink" Target="http://www.puc.state.nh.us/EESE%20Board/EERS_WG/061318_unitil_ratchet_analysis.pdf" TargetMode="External"/><Relationship Id="rId10" Type="http://schemas.openxmlformats.org/officeDocument/2006/relationships/hyperlink" Target="http://loadshape.epri.com/enduse" TargetMode="External"/><Relationship Id="rId4" Type="http://schemas.openxmlformats.org/officeDocument/2006/relationships/hyperlink" Target="http://www.puc.state.nh.us/EESE%20Board/EERS_WG/061318_wg_eversource_ratchet_analysis.pdf" TargetMode="External"/><Relationship Id="rId9" Type="http://schemas.openxmlformats.org/officeDocument/2006/relationships/hyperlink" Target="https://www.puc.nh.gov/EESE%20Board/EERS_WG/013118_optimal_oca_lbr_wg_mem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D737B-BCAE-4F31-BF08-72EA1840D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8547</Words>
  <Characters>45474</Characters>
  <Application>Microsoft Office Word</Application>
  <DocSecurity>0</DocSecurity>
  <Lines>1568</Lines>
  <Paragraphs>1080</Paragraphs>
  <ScaleCrop>false</ScaleCrop>
  <Company/>
  <LinksUpToDate>false</LinksUpToDate>
  <CharactersWithSpaces>52941</CharactersWithSpaces>
  <SharedDoc>false</SharedDoc>
  <HLinks>
    <vt:vector size="126" baseType="variant">
      <vt:variant>
        <vt:i4>7602221</vt:i4>
      </vt:variant>
      <vt:variant>
        <vt:i4>63</vt:i4>
      </vt:variant>
      <vt:variant>
        <vt:i4>0</vt:i4>
      </vt:variant>
      <vt:variant>
        <vt:i4>5</vt:i4>
      </vt:variant>
      <vt:variant>
        <vt:lpwstr>http://www.puc.state.nh.us/Electric/Monitoring and Evaluation Reports/New Hampshire Large C&amp;I Program Impact Study Final Report.pdf</vt:lpwstr>
      </vt:variant>
      <vt:variant>
        <vt:lpwstr/>
      </vt:variant>
      <vt:variant>
        <vt:i4>4980809</vt:i4>
      </vt:variant>
      <vt:variant>
        <vt:i4>60</vt:i4>
      </vt:variant>
      <vt:variant>
        <vt:i4>0</vt:i4>
      </vt:variant>
      <vt:variant>
        <vt:i4>5</vt:i4>
      </vt:variant>
      <vt:variant>
        <vt:lpwstr>https://www.eversource.com/content/nh/about/about-us/doing-business-with-us/energy-supplier-information/electric---new-Hampshire</vt:lpwstr>
      </vt:variant>
      <vt:variant>
        <vt:lpwstr/>
      </vt:variant>
      <vt:variant>
        <vt:i4>6750254</vt:i4>
      </vt:variant>
      <vt:variant>
        <vt:i4>30</vt:i4>
      </vt:variant>
      <vt:variant>
        <vt:i4>0</vt:i4>
      </vt:variant>
      <vt:variant>
        <vt:i4>5</vt:i4>
      </vt:variant>
      <vt:variant>
        <vt:lpwstr>../../James.J.Cunningham/AppData/Local/Microsoft/Windows/INetCache/Content.Outlook/AppData/Local/Microsoft/Windows/INetCache/Content.Outlook/AppData/Local/Microsoft/Windows/INetCache/Content.Outlook/48E1L2WG/OCA Draft Final LBR Report Comments 7.17.18.pdf</vt:lpwstr>
      </vt:variant>
      <vt:variant>
        <vt:lpwstr/>
      </vt:variant>
      <vt:variant>
        <vt:i4>7602221</vt:i4>
      </vt:variant>
      <vt:variant>
        <vt:i4>21</vt:i4>
      </vt:variant>
      <vt:variant>
        <vt:i4>0</vt:i4>
      </vt:variant>
      <vt:variant>
        <vt:i4>5</vt:i4>
      </vt:variant>
      <vt:variant>
        <vt:lpwstr>http://www.puc.state.nh.us/Electric/Monitoring and Evaluation Reports/New Hampshire Large C&amp;I Program Impact Study Final Report.pdf</vt:lpwstr>
      </vt:variant>
      <vt:variant>
        <vt:lpwstr/>
      </vt:variant>
      <vt:variant>
        <vt:i4>4980809</vt:i4>
      </vt:variant>
      <vt:variant>
        <vt:i4>18</vt:i4>
      </vt:variant>
      <vt:variant>
        <vt:i4>0</vt:i4>
      </vt:variant>
      <vt:variant>
        <vt:i4>5</vt:i4>
      </vt:variant>
      <vt:variant>
        <vt:lpwstr>https://www.eversource.com/content/nh/about/about-us/doing-business-with-us/energy-supplier-information/electric---new-Hampshire</vt:lpwstr>
      </vt:variant>
      <vt:variant>
        <vt:lpwstr/>
      </vt:variant>
      <vt:variant>
        <vt:i4>917587</vt:i4>
      </vt:variant>
      <vt:variant>
        <vt:i4>12</vt:i4>
      </vt:variant>
      <vt:variant>
        <vt:i4>0</vt:i4>
      </vt:variant>
      <vt:variant>
        <vt:i4>5</vt:i4>
      </vt:variant>
      <vt:variant>
        <vt:lpwstr>https://www.puc.nh.gov/Regulatory/companies-regulated-tariffs.htm</vt:lpwstr>
      </vt:variant>
      <vt:variant>
        <vt:lpwstr/>
      </vt:variant>
      <vt:variant>
        <vt:i4>4522070</vt:i4>
      </vt:variant>
      <vt:variant>
        <vt:i4>6</vt:i4>
      </vt:variant>
      <vt:variant>
        <vt:i4>0</vt:i4>
      </vt:variant>
      <vt:variant>
        <vt:i4>5</vt:i4>
      </vt:variant>
      <vt:variant>
        <vt:lpwstr>http://www.puc.state.nh.us/Regulatory/Tariffs/Eversource-PSNH Tariff No 9.pdf</vt:lpwstr>
      </vt:variant>
      <vt:variant>
        <vt:lpwstr/>
      </vt:variant>
      <vt:variant>
        <vt:i4>5439561</vt:i4>
      </vt:variant>
      <vt:variant>
        <vt:i4>3</vt:i4>
      </vt:variant>
      <vt:variant>
        <vt:i4>0</vt:i4>
      </vt:variant>
      <vt:variant>
        <vt:i4>5</vt:i4>
      </vt:variant>
      <vt:variant>
        <vt:lpwstr>http://www.puc.nh.gov/EESE Board/EERS_Working_Groups.html</vt:lpwstr>
      </vt:variant>
      <vt:variant>
        <vt:lpwstr/>
      </vt:variant>
      <vt:variant>
        <vt:i4>5439561</vt:i4>
      </vt:variant>
      <vt:variant>
        <vt:i4>0</vt:i4>
      </vt:variant>
      <vt:variant>
        <vt:i4>0</vt:i4>
      </vt:variant>
      <vt:variant>
        <vt:i4>5</vt:i4>
      </vt:variant>
      <vt:variant>
        <vt:lpwstr>http://www.puc.nh.gov/EESE Board/EERS_Working_Groups.html</vt:lpwstr>
      </vt:variant>
      <vt:variant>
        <vt:lpwstr/>
      </vt:variant>
      <vt:variant>
        <vt:i4>7602221</vt:i4>
      </vt:variant>
      <vt:variant>
        <vt:i4>33</vt:i4>
      </vt:variant>
      <vt:variant>
        <vt:i4>0</vt:i4>
      </vt:variant>
      <vt:variant>
        <vt:i4>5</vt:i4>
      </vt:variant>
      <vt:variant>
        <vt:lpwstr>http://www.puc.state.nh.us/Electric/Monitoring and Evaluation Reports/New Hampshire Large C&amp;I Program Impact Study Final Report.pdf</vt:lpwstr>
      </vt:variant>
      <vt:variant>
        <vt:lpwstr/>
      </vt:variant>
      <vt:variant>
        <vt:i4>6357112</vt:i4>
      </vt:variant>
      <vt:variant>
        <vt:i4>30</vt:i4>
      </vt:variant>
      <vt:variant>
        <vt:i4>0</vt:i4>
      </vt:variant>
      <vt:variant>
        <vt:i4>5</vt:i4>
      </vt:variant>
      <vt:variant>
        <vt:lpwstr>https://www.puc.nh.gov/Electric/96-150  NH Energy Efficiency Working Group Final Report (1999).pdf</vt:lpwstr>
      </vt:variant>
      <vt:variant>
        <vt:lpwstr/>
      </vt:variant>
      <vt:variant>
        <vt:i4>5636177</vt:i4>
      </vt:variant>
      <vt:variant>
        <vt:i4>27</vt:i4>
      </vt:variant>
      <vt:variant>
        <vt:i4>0</vt:i4>
      </vt:variant>
      <vt:variant>
        <vt:i4>5</vt:i4>
      </vt:variant>
      <vt:variant>
        <vt:lpwstr>http://loadshape.epri.com/enduse</vt:lpwstr>
      </vt:variant>
      <vt:variant>
        <vt:lpwstr/>
      </vt:variant>
      <vt:variant>
        <vt:i4>2490493</vt:i4>
      </vt:variant>
      <vt:variant>
        <vt:i4>24</vt:i4>
      </vt:variant>
      <vt:variant>
        <vt:i4>0</vt:i4>
      </vt:variant>
      <vt:variant>
        <vt:i4>5</vt:i4>
      </vt:variant>
      <vt:variant>
        <vt:lpwstr>https://www.puc.nh.gov/EESE Board/EERS_WG/013118_optimal_oca_lbr_wg_memo.pdf</vt:lpwstr>
      </vt:variant>
      <vt:variant>
        <vt:lpwstr/>
      </vt:variant>
      <vt:variant>
        <vt:i4>7602221</vt:i4>
      </vt:variant>
      <vt:variant>
        <vt:i4>21</vt:i4>
      </vt:variant>
      <vt:variant>
        <vt:i4>0</vt:i4>
      </vt:variant>
      <vt:variant>
        <vt:i4>5</vt:i4>
      </vt:variant>
      <vt:variant>
        <vt:lpwstr>http://www.puc.state.nh.us/Electric/Monitoring and Evaluation Reports/New Hampshire Large C&amp;I Program Impact Study Final Report.pdf</vt:lpwstr>
      </vt:variant>
      <vt:variant>
        <vt:lpwstr/>
      </vt:variant>
      <vt:variant>
        <vt:i4>7602221</vt:i4>
      </vt:variant>
      <vt:variant>
        <vt:i4>18</vt:i4>
      </vt:variant>
      <vt:variant>
        <vt:i4>0</vt:i4>
      </vt:variant>
      <vt:variant>
        <vt:i4>5</vt:i4>
      </vt:variant>
      <vt:variant>
        <vt:lpwstr>http://www.puc.state.nh.us/Electric/Monitoring and Evaluation Reports/New Hampshire Large C&amp;I Program Impact Study Final Report.pdf</vt:lpwstr>
      </vt:variant>
      <vt:variant>
        <vt:lpwstr/>
      </vt:variant>
      <vt:variant>
        <vt:i4>1900546</vt:i4>
      </vt:variant>
      <vt:variant>
        <vt:i4>15</vt:i4>
      </vt:variant>
      <vt:variant>
        <vt:i4>0</vt:i4>
      </vt:variant>
      <vt:variant>
        <vt:i4>5</vt:i4>
      </vt:variant>
      <vt:variant>
        <vt:lpwstr>https://www.puc.nh.gov/EESE Board/EERS_WG/3_15_2018_worksheet_in_utilities_lbr_homework.xls</vt:lpwstr>
      </vt:variant>
      <vt:variant>
        <vt:lpwstr/>
      </vt:variant>
      <vt:variant>
        <vt:i4>851974</vt:i4>
      </vt:variant>
      <vt:variant>
        <vt:i4>12</vt:i4>
      </vt:variant>
      <vt:variant>
        <vt:i4>0</vt:i4>
      </vt:variant>
      <vt:variant>
        <vt:i4>5</vt:i4>
      </vt:variant>
      <vt:variant>
        <vt:lpwstr>http://www.puc.state.nh.us/EESE Board/EERS_WG/061318_unitil_ratchet_analysis.pdf</vt:lpwstr>
      </vt:variant>
      <vt:variant>
        <vt:lpwstr/>
      </vt:variant>
      <vt:variant>
        <vt:i4>2031655</vt:i4>
      </vt:variant>
      <vt:variant>
        <vt:i4>9</vt:i4>
      </vt:variant>
      <vt:variant>
        <vt:i4>0</vt:i4>
      </vt:variant>
      <vt:variant>
        <vt:i4>5</vt:i4>
      </vt:variant>
      <vt:variant>
        <vt:lpwstr>http://www.puc.state.nh.us/EESE Board/EERS_WG/061318_wg_eversource_ratchet_analysis.pdf</vt:lpwstr>
      </vt:variant>
      <vt:variant>
        <vt:lpwstr/>
      </vt:variant>
      <vt:variant>
        <vt:i4>7602221</vt:i4>
      </vt:variant>
      <vt:variant>
        <vt:i4>6</vt:i4>
      </vt:variant>
      <vt:variant>
        <vt:i4>0</vt:i4>
      </vt:variant>
      <vt:variant>
        <vt:i4>5</vt:i4>
      </vt:variant>
      <vt:variant>
        <vt:lpwstr>http://www.puc.state.nh.us/Electric/Monitoring and Evaluation Reports/New Hampshire Large C&amp;I Program Impact Study Final Report.pdf</vt:lpwstr>
      </vt:variant>
      <vt:variant>
        <vt:lpwstr/>
      </vt:variant>
      <vt:variant>
        <vt:i4>7471136</vt:i4>
      </vt:variant>
      <vt:variant>
        <vt:i4>3</vt:i4>
      </vt:variant>
      <vt:variant>
        <vt:i4>0</vt:i4>
      </vt:variant>
      <vt:variant>
        <vt:i4>5</vt:i4>
      </vt:variant>
      <vt:variant>
        <vt:lpwstr>../../James.J.Cunningham/AppData/Local/Microsoft/Windows/INetCache/Content.Outlook/AppData/Local/Microsoft/Windows/INetCache/Content.Outlook/AppData/Local/Microsoft/Electric/JIM CUNNINGHAM/DE 17-136/2018 Activities/LBR Working Group/The term is used in several contexts in the development of reported program</vt:lpwstr>
      </vt:variant>
      <vt:variant>
        <vt:lpwstr/>
      </vt:variant>
      <vt:variant>
        <vt:i4>7602221</vt:i4>
      </vt:variant>
      <vt:variant>
        <vt:i4>0</vt:i4>
      </vt:variant>
      <vt:variant>
        <vt:i4>0</vt:i4>
      </vt:variant>
      <vt:variant>
        <vt:i4>5</vt:i4>
      </vt:variant>
      <vt:variant>
        <vt:lpwstr>http://www.puc.state.nh.us/Electric/Monitoring and Evaluation Reports/New Hampshire Large C&amp;I Program Impact Study Final Report.pdf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2018-10-31T17:33:00Z</dcterms:created>
  <dcterms:modified xsi:type="dcterms:W3CDTF">2018-10-31T17:33:00Z</dcterms:modified>
</cp:coreProperties>
</file>